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285"/>
        <w:tblW w:w="8995" w:type="dxa"/>
        <w:tblLook w:val="04A0" w:firstRow="1" w:lastRow="0" w:firstColumn="1" w:lastColumn="0" w:noHBand="0" w:noVBand="1"/>
      </w:tblPr>
      <w:tblGrid>
        <w:gridCol w:w="8995"/>
      </w:tblGrid>
      <w:tr w:rsidR="0081669F" w:rsidRPr="00A307BA" w14:paraId="420368A7" w14:textId="77777777" w:rsidTr="00003921">
        <w:tc>
          <w:tcPr>
            <w:tcW w:w="8995" w:type="dxa"/>
            <w:tcBorders>
              <w:bottom w:val="single" w:sz="4" w:space="0" w:color="auto"/>
            </w:tcBorders>
          </w:tcPr>
          <w:p w14:paraId="68623326" w14:textId="77777777" w:rsidR="0081669F" w:rsidRDefault="0081669F" w:rsidP="0081669F">
            <w:r>
              <w:rPr>
                <w:rFonts w:ascii="Times New Roman" w:hAnsi="Times New Roman" w:cs="Times New Roman"/>
                <w:b/>
                <w:noProof/>
                <w:sz w:val="20"/>
                <w:szCs w:val="20"/>
              </w:rPr>
              <w:drawing>
                <wp:anchor distT="0" distB="0" distL="114300" distR="114300" simplePos="0" relativeHeight="251659264" behindDoc="0" locked="0" layoutInCell="1" allowOverlap="1" wp14:anchorId="44F4B937" wp14:editId="7B723A75">
                  <wp:simplePos x="0" y="0"/>
                  <wp:positionH relativeFrom="margin">
                    <wp:posOffset>-57785</wp:posOffset>
                  </wp:positionH>
                  <wp:positionV relativeFrom="margin">
                    <wp:posOffset>67310</wp:posOffset>
                  </wp:positionV>
                  <wp:extent cx="2209800" cy="477520"/>
                  <wp:effectExtent l="0" t="0" r="0" b="0"/>
                  <wp:wrapSquare wrapText="bothSides"/>
                  <wp:docPr id="2" name="Picture 4" descr="Description: Description: Description: Description: Description: Description: Description: Description: Description: District.Horizontal.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istrict.Horizontal.2Color.jpg"/>
                          <pic:cNvPicPr>
                            <a:picLocks noChangeAspect="1" noChangeArrowheads="1"/>
                          </pic:cNvPicPr>
                        </pic:nvPicPr>
                        <pic:blipFill>
                          <a:blip r:embed="rId8" cstate="print"/>
                          <a:srcRect/>
                          <a:stretch>
                            <a:fillRect/>
                          </a:stretch>
                        </pic:blipFill>
                        <pic:spPr bwMode="auto">
                          <a:xfrm>
                            <a:off x="0" y="0"/>
                            <a:ext cx="2209800" cy="477520"/>
                          </a:xfrm>
                          <a:prstGeom prst="rect">
                            <a:avLst/>
                          </a:prstGeom>
                          <a:noFill/>
                        </pic:spPr>
                      </pic:pic>
                    </a:graphicData>
                  </a:graphic>
                  <wp14:sizeRelH relativeFrom="margin">
                    <wp14:pctWidth>0</wp14:pctWidth>
                  </wp14:sizeRelH>
                  <wp14:sizeRelV relativeFrom="margin">
                    <wp14:pctHeight>0</wp14:pctHeight>
                  </wp14:sizeRelV>
                </wp:anchor>
              </w:drawing>
            </w:r>
          </w:p>
          <w:p w14:paraId="1A51181E" w14:textId="77777777" w:rsidR="0081669F" w:rsidRDefault="0081669F" w:rsidP="0081669F"/>
          <w:p w14:paraId="3416EC2C" w14:textId="77777777" w:rsidR="0081669F" w:rsidRDefault="0081669F" w:rsidP="0081669F"/>
          <w:p w14:paraId="6E6F3371" w14:textId="77777777" w:rsidR="0081669F" w:rsidRDefault="0081669F" w:rsidP="0081669F"/>
          <w:p w14:paraId="3B155FA0" w14:textId="77777777" w:rsidR="0081669F" w:rsidRPr="00AE18CB" w:rsidRDefault="0081669F" w:rsidP="0081669F">
            <w:pPr>
              <w:jc w:val="center"/>
              <w:rPr>
                <w:rFonts w:ascii="Times New Roman" w:hAnsi="Times New Roman" w:cs="Times New Roman"/>
                <w:b/>
                <w:sz w:val="20"/>
                <w:szCs w:val="20"/>
              </w:rPr>
            </w:pPr>
            <w:r w:rsidRPr="00AE18CB">
              <w:rPr>
                <w:rFonts w:ascii="Times New Roman" w:hAnsi="Times New Roman" w:cs="Times New Roman"/>
                <w:b/>
                <w:sz w:val="20"/>
                <w:szCs w:val="20"/>
              </w:rPr>
              <w:t>GCCCD Vision, Mission and Value Statement</w:t>
            </w:r>
          </w:p>
          <w:p w14:paraId="3E02546B" w14:textId="77777777" w:rsidR="0081669F" w:rsidRPr="00A307BA" w:rsidRDefault="0081669F" w:rsidP="0081669F">
            <w:pPr>
              <w:rPr>
                <w:sz w:val="16"/>
                <w:szCs w:val="16"/>
              </w:rPr>
            </w:pPr>
          </w:p>
          <w:p w14:paraId="7A6D57CC" w14:textId="77777777" w:rsidR="0081669F" w:rsidRPr="00AE18CB" w:rsidRDefault="0081669F" w:rsidP="0081669F">
            <w:pPr>
              <w:jc w:val="center"/>
              <w:rPr>
                <w:rFonts w:ascii="Times New Roman" w:hAnsi="Times New Roman" w:cs="Times New Roman"/>
                <w:b/>
                <w:i/>
                <w:sz w:val="18"/>
                <w:szCs w:val="18"/>
              </w:rPr>
            </w:pPr>
            <w:r w:rsidRPr="00AE18CB">
              <w:rPr>
                <w:rFonts w:ascii="Times New Roman" w:hAnsi="Times New Roman" w:cs="Times New Roman"/>
                <w:b/>
                <w:i/>
                <w:sz w:val="18"/>
                <w:szCs w:val="18"/>
              </w:rPr>
              <w:t xml:space="preserve">Vision:  </w:t>
            </w:r>
            <w:r w:rsidRPr="00AE18CB">
              <w:rPr>
                <w:rFonts w:ascii="Times New Roman" w:hAnsi="Times New Roman" w:cs="Times New Roman"/>
                <w:i/>
                <w:sz w:val="18"/>
                <w:szCs w:val="18"/>
              </w:rPr>
              <w:t>Transforming lives through learning.</w:t>
            </w:r>
          </w:p>
          <w:p w14:paraId="4FCE1F86" w14:textId="77777777" w:rsidR="0081669F" w:rsidRPr="00A307BA" w:rsidRDefault="0081669F" w:rsidP="0081669F">
            <w:pPr>
              <w:rPr>
                <w:rFonts w:ascii="Times New Roman" w:hAnsi="Times New Roman" w:cs="Times New Roman"/>
                <w:i/>
                <w:sz w:val="16"/>
                <w:szCs w:val="16"/>
              </w:rPr>
            </w:pPr>
          </w:p>
          <w:p w14:paraId="319C3F9B" w14:textId="77777777" w:rsidR="0081669F" w:rsidRPr="00AE18CB" w:rsidRDefault="0081669F" w:rsidP="00003921">
            <w:pPr>
              <w:jc w:val="center"/>
              <w:rPr>
                <w:rFonts w:ascii="Times New Roman" w:hAnsi="Times New Roman" w:cs="Times New Roman"/>
                <w:sz w:val="18"/>
                <w:szCs w:val="18"/>
              </w:rPr>
            </w:pPr>
            <w:r w:rsidRPr="00AE18CB">
              <w:rPr>
                <w:rFonts w:ascii="Times New Roman" w:hAnsi="Times New Roman" w:cs="Times New Roman"/>
                <w:b/>
                <w:sz w:val="18"/>
                <w:szCs w:val="18"/>
              </w:rPr>
              <w:t>Mission</w:t>
            </w:r>
            <w:r w:rsidRPr="00AE18CB">
              <w:rPr>
                <w:rFonts w:ascii="Times New Roman" w:hAnsi="Times New Roman" w:cs="Times New Roman"/>
                <w:sz w:val="18"/>
                <w:szCs w:val="18"/>
              </w:rPr>
              <w:t>:  Provide outstanding learning opportunities that prepare students to</w:t>
            </w:r>
            <w:r w:rsidR="00003921">
              <w:rPr>
                <w:rFonts w:ascii="Times New Roman" w:hAnsi="Times New Roman" w:cs="Times New Roman"/>
                <w:sz w:val="18"/>
                <w:szCs w:val="18"/>
              </w:rPr>
              <w:t xml:space="preserve"> </w:t>
            </w:r>
            <w:r w:rsidRPr="00AE18CB">
              <w:rPr>
                <w:rFonts w:ascii="Times New Roman" w:hAnsi="Times New Roman" w:cs="Times New Roman"/>
                <w:sz w:val="18"/>
                <w:szCs w:val="18"/>
              </w:rPr>
              <w:t>meet community needs and future challenges of a complex, global society.</w:t>
            </w:r>
          </w:p>
          <w:p w14:paraId="5240F4AD" w14:textId="77777777" w:rsidR="0081669F" w:rsidRPr="00A307BA" w:rsidRDefault="0081669F" w:rsidP="0081669F">
            <w:pPr>
              <w:rPr>
                <w:rFonts w:ascii="Times New Roman" w:hAnsi="Times New Roman" w:cs="Times New Roman"/>
                <w:sz w:val="16"/>
                <w:szCs w:val="16"/>
              </w:rPr>
            </w:pPr>
          </w:p>
          <w:p w14:paraId="20F762BF" w14:textId="77777777" w:rsidR="0081669F" w:rsidRPr="00AE18CB" w:rsidRDefault="0081669F" w:rsidP="0081669F">
            <w:pPr>
              <w:jc w:val="center"/>
              <w:rPr>
                <w:rFonts w:ascii="Times New Roman" w:hAnsi="Times New Roman" w:cs="Times New Roman"/>
                <w:sz w:val="18"/>
                <w:szCs w:val="18"/>
              </w:rPr>
            </w:pPr>
            <w:r w:rsidRPr="00AE18CB">
              <w:rPr>
                <w:rFonts w:ascii="Times New Roman" w:hAnsi="Times New Roman" w:cs="Times New Roman"/>
                <w:b/>
                <w:sz w:val="18"/>
                <w:szCs w:val="18"/>
              </w:rPr>
              <w:t>Value Statement</w:t>
            </w:r>
            <w:r w:rsidRPr="00AE18CB">
              <w:rPr>
                <w:rFonts w:ascii="Times New Roman" w:hAnsi="Times New Roman" w:cs="Times New Roman"/>
                <w:sz w:val="18"/>
                <w:szCs w:val="18"/>
              </w:rPr>
              <w:t>:  Cultivate a student-centered culture of excellence, trust, stewardship, and service.</w:t>
            </w:r>
          </w:p>
          <w:p w14:paraId="4D940151" w14:textId="77777777" w:rsidR="0081669F" w:rsidRPr="00A307BA" w:rsidRDefault="0081669F" w:rsidP="0081669F">
            <w:pPr>
              <w:rPr>
                <w:sz w:val="16"/>
                <w:szCs w:val="16"/>
              </w:rPr>
            </w:pPr>
          </w:p>
        </w:tc>
      </w:tr>
      <w:tr w:rsidR="0081669F" w:rsidRPr="00E7280C" w14:paraId="5BAAA3FE" w14:textId="77777777" w:rsidTr="00003921">
        <w:tc>
          <w:tcPr>
            <w:tcW w:w="8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29B8C" w14:textId="77777777" w:rsidR="0081669F" w:rsidRDefault="0081669F" w:rsidP="0081669F">
            <w:pPr>
              <w:jc w:val="center"/>
              <w:rPr>
                <w:rFonts w:ascii="Arial" w:hAnsi="Arial" w:cs="Arial"/>
                <w:sz w:val="18"/>
                <w:szCs w:val="18"/>
              </w:rPr>
            </w:pPr>
          </w:p>
          <w:p w14:paraId="05A60B47" w14:textId="77777777" w:rsidR="0081669F" w:rsidRPr="00E2244C" w:rsidRDefault="0081669F" w:rsidP="00940246">
            <w:pPr>
              <w:jc w:val="center"/>
              <w:rPr>
                <w:rFonts w:ascii="Arial" w:hAnsi="Arial" w:cs="Arial"/>
                <w:b/>
                <w:i/>
                <w:sz w:val="24"/>
                <w:szCs w:val="24"/>
              </w:rPr>
            </w:pPr>
            <w:r>
              <w:rPr>
                <w:rFonts w:ascii="Arial" w:hAnsi="Arial" w:cs="Arial"/>
                <w:b/>
                <w:i/>
                <w:sz w:val="24"/>
                <w:szCs w:val="24"/>
              </w:rPr>
              <w:t>Public Safety and Emergency Preparedness Council</w:t>
            </w:r>
          </w:p>
          <w:p w14:paraId="4E0B45DC" w14:textId="0F9BD286" w:rsidR="0081669F" w:rsidRDefault="00760745" w:rsidP="0081669F">
            <w:pPr>
              <w:jc w:val="center"/>
              <w:rPr>
                <w:rFonts w:ascii="Arial" w:hAnsi="Arial" w:cs="Arial"/>
                <w:b/>
              </w:rPr>
            </w:pPr>
            <w:r>
              <w:rPr>
                <w:rFonts w:ascii="Arial" w:hAnsi="Arial" w:cs="Arial"/>
                <w:b/>
              </w:rPr>
              <w:t>October</w:t>
            </w:r>
            <w:r w:rsidR="00FA7A82">
              <w:rPr>
                <w:rFonts w:ascii="Arial" w:hAnsi="Arial" w:cs="Arial"/>
                <w:b/>
              </w:rPr>
              <w:t xml:space="preserve"> </w:t>
            </w:r>
            <w:r>
              <w:rPr>
                <w:rFonts w:ascii="Arial" w:hAnsi="Arial" w:cs="Arial"/>
                <w:b/>
              </w:rPr>
              <w:t>20</w:t>
            </w:r>
            <w:r w:rsidR="00940246">
              <w:rPr>
                <w:rFonts w:ascii="Arial" w:hAnsi="Arial" w:cs="Arial"/>
                <w:b/>
              </w:rPr>
              <w:t>, 2022</w:t>
            </w:r>
            <w:r w:rsidR="0081669F">
              <w:rPr>
                <w:rFonts w:ascii="Arial" w:hAnsi="Arial" w:cs="Arial"/>
                <w:b/>
              </w:rPr>
              <w:t>, Meeting Agenda</w:t>
            </w:r>
          </w:p>
          <w:p w14:paraId="2183E310" w14:textId="5743C97B" w:rsidR="0081669F" w:rsidRPr="00E7280C" w:rsidRDefault="00760745" w:rsidP="0081669F">
            <w:pPr>
              <w:jc w:val="center"/>
              <w:rPr>
                <w:rFonts w:ascii="Arial" w:hAnsi="Arial" w:cs="Arial"/>
                <w:sz w:val="18"/>
                <w:szCs w:val="18"/>
              </w:rPr>
            </w:pPr>
            <w:r>
              <w:rPr>
                <w:rFonts w:ascii="Arial" w:hAnsi="Arial" w:cs="Arial"/>
                <w:b/>
              </w:rPr>
              <w:t>M</w:t>
            </w:r>
            <w:r w:rsidR="00940246">
              <w:rPr>
                <w:rFonts w:ascii="Arial" w:hAnsi="Arial" w:cs="Arial"/>
                <w:b/>
              </w:rPr>
              <w:t>eeting @ 1:00 pm</w:t>
            </w:r>
            <w:r w:rsidR="00FA7A82">
              <w:rPr>
                <w:rFonts w:ascii="Arial" w:hAnsi="Arial" w:cs="Arial"/>
                <w:b/>
              </w:rPr>
              <w:t>- 2:30pm</w:t>
            </w:r>
          </w:p>
        </w:tc>
      </w:tr>
    </w:tbl>
    <w:p w14:paraId="3C62368B" w14:textId="77777777" w:rsidR="0081669F" w:rsidRDefault="0081669F"/>
    <w:tbl>
      <w:tblPr>
        <w:tblStyle w:val="TableGrid"/>
        <w:tblpPr w:leftFromText="180" w:rightFromText="180" w:vertAnchor="text" w:horzAnchor="margin" w:tblpXSpec="center" w:tblpY="211"/>
        <w:tblW w:w="0" w:type="auto"/>
        <w:tblLook w:val="04A0" w:firstRow="1" w:lastRow="0" w:firstColumn="1" w:lastColumn="0" w:noHBand="0" w:noVBand="1"/>
      </w:tblPr>
      <w:tblGrid>
        <w:gridCol w:w="2258"/>
        <w:gridCol w:w="540"/>
      </w:tblGrid>
      <w:tr w:rsidR="00C54B28" w14:paraId="041F2329" w14:textId="77777777" w:rsidTr="0081669F">
        <w:trPr>
          <w:cantSplit/>
          <w:trHeight w:val="288"/>
        </w:trPr>
        <w:tc>
          <w:tcPr>
            <w:tcW w:w="2258" w:type="dxa"/>
            <w:tcBorders>
              <w:top w:val="nil"/>
              <w:left w:val="nil"/>
              <w:bottom w:val="nil"/>
              <w:right w:val="single" w:sz="4" w:space="0" w:color="auto"/>
            </w:tcBorders>
            <w:vAlign w:val="center"/>
          </w:tcPr>
          <w:p w14:paraId="1ED34239" w14:textId="77777777" w:rsidR="00C54B28" w:rsidRDefault="00C54B28" w:rsidP="00C54B28">
            <w:pPr>
              <w:jc w:val="center"/>
            </w:pPr>
            <w:r>
              <w:rPr>
                <w:rFonts w:ascii="Arial" w:hAnsi="Arial" w:cs="Arial"/>
                <w:b/>
                <w:i/>
              </w:rPr>
              <w:t>Members Present</w:t>
            </w:r>
          </w:p>
        </w:tc>
        <w:tc>
          <w:tcPr>
            <w:tcW w:w="540" w:type="dxa"/>
            <w:tcBorders>
              <w:left w:val="single" w:sz="4" w:space="0" w:color="auto"/>
            </w:tcBorders>
            <w:vAlign w:val="center"/>
          </w:tcPr>
          <w:p w14:paraId="29A04260" w14:textId="49499128" w:rsidR="00C54B28" w:rsidRDefault="000B79E2" w:rsidP="00C54B28">
            <w:pPr>
              <w:jc w:val="center"/>
            </w:pPr>
            <w:r>
              <w:t>11</w:t>
            </w:r>
          </w:p>
        </w:tc>
      </w:tr>
    </w:tbl>
    <w:p w14:paraId="39949DE8" w14:textId="77777777" w:rsidR="0081669F" w:rsidRDefault="0081669F" w:rsidP="0081669F"/>
    <w:tbl>
      <w:tblPr>
        <w:tblStyle w:val="TableGrid"/>
        <w:tblpPr w:leftFromText="180" w:rightFromText="180" w:vertAnchor="text" w:horzAnchor="margin" w:tblpXSpec="center" w:tblpY="332"/>
        <w:tblW w:w="9047" w:type="dxa"/>
        <w:tblLayout w:type="fixed"/>
        <w:tblLook w:val="04A0" w:firstRow="1" w:lastRow="0" w:firstColumn="1" w:lastColumn="0" w:noHBand="0" w:noVBand="1"/>
      </w:tblPr>
      <w:tblGrid>
        <w:gridCol w:w="2523"/>
        <w:gridCol w:w="1796"/>
        <w:gridCol w:w="306"/>
        <w:gridCol w:w="2321"/>
        <w:gridCol w:w="1784"/>
        <w:gridCol w:w="317"/>
      </w:tblGrid>
      <w:tr w:rsidR="0081669F" w14:paraId="4CDE3C19" w14:textId="77777777" w:rsidTr="00574E83">
        <w:trPr>
          <w:cantSplit/>
          <w:trHeight w:val="432"/>
        </w:trPr>
        <w:tc>
          <w:tcPr>
            <w:tcW w:w="2523" w:type="dxa"/>
            <w:tcBorders>
              <w:top w:val="nil"/>
              <w:left w:val="nil"/>
              <w:bottom w:val="nil"/>
              <w:right w:val="nil"/>
            </w:tcBorders>
          </w:tcPr>
          <w:p w14:paraId="157AA819" w14:textId="77777777" w:rsidR="0081669F" w:rsidRPr="00897325" w:rsidRDefault="0081669F" w:rsidP="0081669F">
            <w:pPr>
              <w:rPr>
                <w:rFonts w:ascii="Arial" w:hAnsi="Arial" w:cs="Arial"/>
                <w:b/>
                <w:i/>
                <w:sz w:val="16"/>
                <w:szCs w:val="16"/>
              </w:rPr>
            </w:pPr>
            <w:r w:rsidRPr="00897325">
              <w:rPr>
                <w:rFonts w:ascii="Arial" w:hAnsi="Arial" w:cs="Arial"/>
                <w:b/>
                <w:i/>
                <w:sz w:val="16"/>
                <w:szCs w:val="16"/>
              </w:rPr>
              <w:t xml:space="preserve">Chair:  </w:t>
            </w:r>
            <w:r w:rsidR="00150530">
              <w:rPr>
                <w:rFonts w:ascii="Arial" w:hAnsi="Arial" w:cs="Arial"/>
                <w:sz w:val="16"/>
                <w:szCs w:val="16"/>
              </w:rPr>
              <w:t>Director of Public Safety</w:t>
            </w:r>
          </w:p>
          <w:p w14:paraId="1D8F8041" w14:textId="77777777" w:rsidR="0081669F" w:rsidRPr="00897325" w:rsidRDefault="0081669F" w:rsidP="0081669F">
            <w:pPr>
              <w:rPr>
                <w:rFonts w:ascii="Arial" w:hAnsi="Arial" w:cs="Arial"/>
                <w:sz w:val="16"/>
                <w:szCs w:val="16"/>
              </w:rPr>
            </w:pPr>
          </w:p>
        </w:tc>
        <w:tc>
          <w:tcPr>
            <w:tcW w:w="1796" w:type="dxa"/>
            <w:tcBorders>
              <w:top w:val="nil"/>
              <w:left w:val="nil"/>
              <w:bottom w:val="nil"/>
              <w:right w:val="single" w:sz="4" w:space="0" w:color="auto"/>
            </w:tcBorders>
          </w:tcPr>
          <w:p w14:paraId="253807CB" w14:textId="77777777" w:rsidR="0081669F" w:rsidRPr="00897325" w:rsidRDefault="0081669F" w:rsidP="0081669F">
            <w:pPr>
              <w:rPr>
                <w:rFonts w:ascii="Arial" w:hAnsi="Arial" w:cs="Arial"/>
                <w:sz w:val="16"/>
                <w:szCs w:val="16"/>
              </w:rPr>
            </w:pPr>
            <w:r w:rsidRPr="00897325">
              <w:rPr>
                <w:rFonts w:ascii="Arial" w:hAnsi="Arial" w:cs="Arial"/>
                <w:b/>
                <w:i/>
                <w:sz w:val="16"/>
                <w:szCs w:val="16"/>
              </w:rPr>
              <w:t>Nicole Conklin</w:t>
            </w:r>
          </w:p>
        </w:tc>
        <w:tc>
          <w:tcPr>
            <w:tcW w:w="306" w:type="dxa"/>
            <w:tcBorders>
              <w:left w:val="single" w:sz="4" w:space="0" w:color="auto"/>
              <w:right w:val="single" w:sz="4" w:space="0" w:color="auto"/>
            </w:tcBorders>
            <w:vAlign w:val="center"/>
          </w:tcPr>
          <w:p w14:paraId="718FC9D7" w14:textId="10EDF48E" w:rsidR="0081669F" w:rsidRDefault="000B79E2" w:rsidP="0048221E">
            <w:pPr>
              <w:jc w:val="both"/>
            </w:pPr>
            <w:r>
              <w:sym w:font="Wingdings" w:char="F0FC"/>
            </w:r>
          </w:p>
        </w:tc>
        <w:tc>
          <w:tcPr>
            <w:tcW w:w="2321" w:type="dxa"/>
            <w:tcBorders>
              <w:top w:val="nil"/>
              <w:left w:val="single" w:sz="4" w:space="0" w:color="auto"/>
              <w:bottom w:val="nil"/>
              <w:right w:val="nil"/>
            </w:tcBorders>
          </w:tcPr>
          <w:p w14:paraId="343F27CE" w14:textId="77777777" w:rsidR="0081669F" w:rsidRPr="00897325" w:rsidRDefault="0081669F" w:rsidP="0081669F">
            <w:pPr>
              <w:rPr>
                <w:rFonts w:ascii="Arial" w:hAnsi="Arial" w:cs="Arial"/>
                <w:sz w:val="16"/>
                <w:szCs w:val="16"/>
              </w:rPr>
            </w:pPr>
            <w:r w:rsidRPr="00897325">
              <w:rPr>
                <w:rFonts w:ascii="Arial" w:hAnsi="Arial" w:cs="Arial"/>
                <w:sz w:val="16"/>
                <w:szCs w:val="16"/>
              </w:rPr>
              <w:t>Academic Senate Representative – CC</w:t>
            </w:r>
          </w:p>
        </w:tc>
        <w:tc>
          <w:tcPr>
            <w:tcW w:w="1784" w:type="dxa"/>
            <w:tcBorders>
              <w:top w:val="nil"/>
              <w:left w:val="nil"/>
              <w:bottom w:val="nil"/>
              <w:right w:val="single" w:sz="4" w:space="0" w:color="auto"/>
            </w:tcBorders>
          </w:tcPr>
          <w:p w14:paraId="75E6D67C" w14:textId="77777777" w:rsidR="0081669F" w:rsidRPr="00897325" w:rsidRDefault="0081669F" w:rsidP="0081669F">
            <w:pPr>
              <w:rPr>
                <w:rFonts w:ascii="Arial" w:hAnsi="Arial" w:cs="Arial"/>
                <w:sz w:val="16"/>
                <w:szCs w:val="16"/>
              </w:rPr>
            </w:pPr>
            <w:r w:rsidRPr="00897325">
              <w:rPr>
                <w:rFonts w:ascii="Arial" w:hAnsi="Arial" w:cs="Arial"/>
                <w:sz w:val="16"/>
                <w:szCs w:val="16"/>
              </w:rPr>
              <w:t>Manuel Mancillas-Gomez</w:t>
            </w:r>
          </w:p>
        </w:tc>
        <w:tc>
          <w:tcPr>
            <w:tcW w:w="317" w:type="dxa"/>
            <w:tcBorders>
              <w:left w:val="single" w:sz="4" w:space="0" w:color="auto"/>
            </w:tcBorders>
            <w:vAlign w:val="center"/>
          </w:tcPr>
          <w:p w14:paraId="33BF4C48" w14:textId="0E239FCB" w:rsidR="0081669F" w:rsidRDefault="000B79E2" w:rsidP="00574E83">
            <w:pPr>
              <w:jc w:val="center"/>
            </w:pPr>
            <w:r>
              <w:sym w:font="Wingdings" w:char="F0FC"/>
            </w:r>
          </w:p>
        </w:tc>
      </w:tr>
      <w:tr w:rsidR="0081669F" w14:paraId="5763E57E" w14:textId="77777777" w:rsidTr="00574E83">
        <w:trPr>
          <w:cantSplit/>
          <w:trHeight w:val="432"/>
        </w:trPr>
        <w:tc>
          <w:tcPr>
            <w:tcW w:w="2523" w:type="dxa"/>
            <w:tcBorders>
              <w:top w:val="nil"/>
              <w:left w:val="nil"/>
              <w:bottom w:val="nil"/>
              <w:right w:val="nil"/>
            </w:tcBorders>
          </w:tcPr>
          <w:p w14:paraId="04B4720A" w14:textId="3D3A8A83" w:rsidR="0081669F" w:rsidRPr="00897325" w:rsidRDefault="0081669F" w:rsidP="0081669F">
            <w:pPr>
              <w:rPr>
                <w:rFonts w:ascii="Arial" w:hAnsi="Arial" w:cs="Arial"/>
                <w:sz w:val="16"/>
                <w:szCs w:val="16"/>
              </w:rPr>
            </w:pPr>
            <w:r w:rsidRPr="00897325">
              <w:rPr>
                <w:rFonts w:ascii="Arial" w:hAnsi="Arial" w:cs="Arial"/>
                <w:sz w:val="16"/>
                <w:szCs w:val="16"/>
              </w:rPr>
              <w:t>Dean-Student Affairs – Cuyamaca</w:t>
            </w:r>
          </w:p>
        </w:tc>
        <w:tc>
          <w:tcPr>
            <w:tcW w:w="1796" w:type="dxa"/>
            <w:tcBorders>
              <w:top w:val="nil"/>
              <w:left w:val="nil"/>
              <w:bottom w:val="nil"/>
              <w:right w:val="single" w:sz="4" w:space="0" w:color="auto"/>
            </w:tcBorders>
          </w:tcPr>
          <w:p w14:paraId="19878CC7" w14:textId="77777777" w:rsidR="0081669F" w:rsidRPr="00897325" w:rsidRDefault="0081669F" w:rsidP="0081669F">
            <w:pPr>
              <w:rPr>
                <w:rFonts w:ascii="Arial" w:hAnsi="Arial" w:cs="Arial"/>
                <w:sz w:val="16"/>
                <w:szCs w:val="16"/>
              </w:rPr>
            </w:pPr>
            <w:r w:rsidRPr="00897325">
              <w:rPr>
                <w:rFonts w:ascii="Arial" w:hAnsi="Arial" w:cs="Arial"/>
                <w:sz w:val="16"/>
                <w:szCs w:val="16"/>
              </w:rPr>
              <w:t>Lauren Vaknin</w:t>
            </w:r>
          </w:p>
        </w:tc>
        <w:tc>
          <w:tcPr>
            <w:tcW w:w="306" w:type="dxa"/>
            <w:tcBorders>
              <w:left w:val="single" w:sz="4" w:space="0" w:color="auto"/>
              <w:right w:val="single" w:sz="4" w:space="0" w:color="auto"/>
            </w:tcBorders>
            <w:vAlign w:val="center"/>
          </w:tcPr>
          <w:p w14:paraId="0030690A" w14:textId="13CBB2B2" w:rsidR="0081669F" w:rsidRDefault="000B79E2" w:rsidP="00574E83">
            <w:pPr>
              <w:jc w:val="center"/>
            </w:pPr>
            <w:r>
              <w:sym w:font="Wingdings" w:char="F0FC"/>
            </w:r>
          </w:p>
        </w:tc>
        <w:tc>
          <w:tcPr>
            <w:tcW w:w="2321" w:type="dxa"/>
            <w:tcBorders>
              <w:top w:val="nil"/>
              <w:left w:val="single" w:sz="4" w:space="0" w:color="auto"/>
              <w:bottom w:val="nil"/>
              <w:right w:val="nil"/>
            </w:tcBorders>
          </w:tcPr>
          <w:p w14:paraId="5C3A67B1" w14:textId="77777777" w:rsidR="0081669F" w:rsidRPr="00897325" w:rsidRDefault="0081669F" w:rsidP="0081669F">
            <w:pPr>
              <w:rPr>
                <w:rFonts w:ascii="Arial" w:hAnsi="Arial" w:cs="Arial"/>
                <w:sz w:val="16"/>
                <w:szCs w:val="16"/>
              </w:rPr>
            </w:pPr>
            <w:r w:rsidRPr="00897325">
              <w:rPr>
                <w:rFonts w:ascii="Arial" w:hAnsi="Arial" w:cs="Arial"/>
                <w:sz w:val="16"/>
                <w:szCs w:val="16"/>
              </w:rPr>
              <w:t>Academic Senate Representative – GC</w:t>
            </w:r>
          </w:p>
        </w:tc>
        <w:tc>
          <w:tcPr>
            <w:tcW w:w="1784" w:type="dxa"/>
            <w:tcBorders>
              <w:top w:val="nil"/>
              <w:left w:val="nil"/>
              <w:bottom w:val="nil"/>
              <w:right w:val="single" w:sz="4" w:space="0" w:color="auto"/>
            </w:tcBorders>
          </w:tcPr>
          <w:p w14:paraId="47A8E0F2" w14:textId="77777777" w:rsidR="0081669F" w:rsidRPr="00897325" w:rsidRDefault="0081669F" w:rsidP="0081669F">
            <w:pPr>
              <w:rPr>
                <w:rFonts w:ascii="Arial" w:hAnsi="Arial" w:cs="Arial"/>
                <w:sz w:val="16"/>
                <w:szCs w:val="16"/>
              </w:rPr>
            </w:pPr>
            <w:r w:rsidRPr="00897325">
              <w:rPr>
                <w:rFonts w:ascii="Arial" w:hAnsi="Arial" w:cs="Arial"/>
                <w:sz w:val="16"/>
                <w:szCs w:val="16"/>
              </w:rPr>
              <w:t>Pearl Lopez</w:t>
            </w:r>
          </w:p>
        </w:tc>
        <w:tc>
          <w:tcPr>
            <w:tcW w:w="317" w:type="dxa"/>
            <w:tcBorders>
              <w:left w:val="single" w:sz="4" w:space="0" w:color="auto"/>
            </w:tcBorders>
            <w:vAlign w:val="center"/>
          </w:tcPr>
          <w:p w14:paraId="34CA7E81" w14:textId="07B5EC0B" w:rsidR="0081669F" w:rsidRDefault="000B79E2" w:rsidP="00574E83">
            <w:pPr>
              <w:jc w:val="center"/>
            </w:pPr>
            <w:r>
              <w:sym w:font="Wingdings" w:char="F0FC"/>
            </w:r>
          </w:p>
        </w:tc>
      </w:tr>
      <w:tr w:rsidR="0081669F" w14:paraId="0638ACC9" w14:textId="77777777" w:rsidTr="00574E83">
        <w:trPr>
          <w:cantSplit/>
          <w:trHeight w:val="432"/>
        </w:trPr>
        <w:tc>
          <w:tcPr>
            <w:tcW w:w="2523" w:type="dxa"/>
            <w:tcBorders>
              <w:top w:val="nil"/>
              <w:left w:val="nil"/>
              <w:bottom w:val="nil"/>
              <w:right w:val="nil"/>
            </w:tcBorders>
          </w:tcPr>
          <w:p w14:paraId="2E67E951" w14:textId="09E0927E" w:rsidR="0081669F" w:rsidRPr="00897325" w:rsidRDefault="0081669F" w:rsidP="0081669F">
            <w:pPr>
              <w:rPr>
                <w:rFonts w:ascii="Arial" w:hAnsi="Arial" w:cs="Arial"/>
                <w:sz w:val="16"/>
                <w:szCs w:val="16"/>
              </w:rPr>
            </w:pPr>
            <w:r w:rsidRPr="00897325">
              <w:rPr>
                <w:rFonts w:ascii="Arial" w:hAnsi="Arial" w:cs="Arial"/>
                <w:sz w:val="16"/>
                <w:szCs w:val="16"/>
              </w:rPr>
              <w:t>Dean-Student Affairs-Grossmont</w:t>
            </w:r>
          </w:p>
        </w:tc>
        <w:tc>
          <w:tcPr>
            <w:tcW w:w="1796" w:type="dxa"/>
            <w:tcBorders>
              <w:top w:val="nil"/>
              <w:left w:val="nil"/>
              <w:bottom w:val="nil"/>
              <w:right w:val="single" w:sz="4" w:space="0" w:color="auto"/>
            </w:tcBorders>
          </w:tcPr>
          <w:p w14:paraId="636E9A65" w14:textId="77777777" w:rsidR="0081669F" w:rsidRPr="00897325" w:rsidRDefault="0081669F" w:rsidP="0081669F">
            <w:pPr>
              <w:rPr>
                <w:rFonts w:ascii="Arial" w:hAnsi="Arial" w:cs="Arial"/>
                <w:sz w:val="16"/>
                <w:szCs w:val="16"/>
              </w:rPr>
            </w:pPr>
            <w:r w:rsidRPr="00897325">
              <w:rPr>
                <w:rFonts w:ascii="Arial" w:hAnsi="Arial" w:cs="Arial"/>
                <w:sz w:val="16"/>
                <w:szCs w:val="16"/>
              </w:rPr>
              <w:t>Sara Varghese</w:t>
            </w:r>
          </w:p>
        </w:tc>
        <w:tc>
          <w:tcPr>
            <w:tcW w:w="306" w:type="dxa"/>
            <w:tcBorders>
              <w:left w:val="single" w:sz="4" w:space="0" w:color="auto"/>
              <w:right w:val="single" w:sz="4" w:space="0" w:color="auto"/>
            </w:tcBorders>
            <w:vAlign w:val="center"/>
          </w:tcPr>
          <w:p w14:paraId="252609F5" w14:textId="28C00BB9" w:rsidR="0081669F" w:rsidRDefault="0081669F" w:rsidP="00574E83">
            <w:pPr>
              <w:jc w:val="center"/>
            </w:pPr>
          </w:p>
        </w:tc>
        <w:tc>
          <w:tcPr>
            <w:tcW w:w="2321" w:type="dxa"/>
            <w:tcBorders>
              <w:top w:val="nil"/>
              <w:left w:val="single" w:sz="4" w:space="0" w:color="auto"/>
              <w:bottom w:val="nil"/>
              <w:right w:val="nil"/>
            </w:tcBorders>
          </w:tcPr>
          <w:p w14:paraId="787D28F9" w14:textId="4E86ACCB" w:rsidR="0081669F" w:rsidRDefault="0081669F" w:rsidP="0081669F">
            <w:pPr>
              <w:rPr>
                <w:rFonts w:ascii="Arial" w:hAnsi="Arial" w:cs="Arial"/>
                <w:sz w:val="16"/>
                <w:szCs w:val="16"/>
              </w:rPr>
            </w:pPr>
            <w:r w:rsidRPr="00897325">
              <w:rPr>
                <w:rFonts w:ascii="Arial" w:hAnsi="Arial" w:cs="Arial"/>
                <w:sz w:val="16"/>
                <w:szCs w:val="16"/>
              </w:rPr>
              <w:t>Classified Senate Representative</w:t>
            </w:r>
            <w:r w:rsidR="00760745">
              <w:rPr>
                <w:rFonts w:ascii="Arial" w:hAnsi="Arial" w:cs="Arial"/>
                <w:sz w:val="16"/>
                <w:szCs w:val="16"/>
              </w:rPr>
              <w:t xml:space="preserve"> – GC</w:t>
            </w:r>
          </w:p>
          <w:p w14:paraId="3F58B9BF" w14:textId="6C25D38D" w:rsidR="00760745" w:rsidRPr="00897325" w:rsidRDefault="00760745" w:rsidP="0081669F">
            <w:pPr>
              <w:rPr>
                <w:rFonts w:ascii="Arial" w:hAnsi="Arial" w:cs="Arial"/>
                <w:sz w:val="16"/>
                <w:szCs w:val="16"/>
              </w:rPr>
            </w:pPr>
            <w:r>
              <w:rPr>
                <w:rFonts w:ascii="Arial" w:hAnsi="Arial" w:cs="Arial"/>
                <w:sz w:val="16"/>
                <w:szCs w:val="16"/>
              </w:rPr>
              <w:t>Classified Rep - CC</w:t>
            </w:r>
          </w:p>
        </w:tc>
        <w:tc>
          <w:tcPr>
            <w:tcW w:w="1784" w:type="dxa"/>
            <w:tcBorders>
              <w:top w:val="nil"/>
              <w:left w:val="nil"/>
              <w:bottom w:val="nil"/>
              <w:right w:val="single" w:sz="4" w:space="0" w:color="auto"/>
            </w:tcBorders>
          </w:tcPr>
          <w:p w14:paraId="7168318B" w14:textId="77777777" w:rsidR="0081669F" w:rsidRDefault="0081669F" w:rsidP="0081669F">
            <w:pPr>
              <w:rPr>
                <w:rFonts w:ascii="Arial" w:hAnsi="Arial" w:cs="Arial"/>
                <w:sz w:val="16"/>
                <w:szCs w:val="16"/>
              </w:rPr>
            </w:pPr>
            <w:r w:rsidRPr="00897325">
              <w:rPr>
                <w:rFonts w:ascii="Arial" w:hAnsi="Arial" w:cs="Arial"/>
                <w:sz w:val="16"/>
                <w:szCs w:val="16"/>
              </w:rPr>
              <w:t>Elaine Adlam</w:t>
            </w:r>
          </w:p>
          <w:p w14:paraId="02A898FC" w14:textId="77777777" w:rsidR="00760745" w:rsidRDefault="00760745" w:rsidP="0081669F">
            <w:pPr>
              <w:rPr>
                <w:rFonts w:ascii="Arial" w:hAnsi="Arial" w:cs="Arial"/>
                <w:sz w:val="16"/>
                <w:szCs w:val="16"/>
              </w:rPr>
            </w:pPr>
          </w:p>
          <w:p w14:paraId="49DAA1A3" w14:textId="4FEECA72" w:rsidR="00760745" w:rsidRPr="00897325" w:rsidRDefault="00760745" w:rsidP="0081669F">
            <w:pPr>
              <w:rPr>
                <w:rFonts w:ascii="Arial" w:hAnsi="Arial" w:cs="Arial"/>
                <w:sz w:val="16"/>
                <w:szCs w:val="16"/>
              </w:rPr>
            </w:pPr>
            <w:r>
              <w:rPr>
                <w:rFonts w:ascii="Arial" w:hAnsi="Arial" w:cs="Arial"/>
                <w:sz w:val="16"/>
                <w:szCs w:val="16"/>
              </w:rPr>
              <w:t>Rafael Ayala</w:t>
            </w:r>
          </w:p>
        </w:tc>
        <w:tc>
          <w:tcPr>
            <w:tcW w:w="317" w:type="dxa"/>
            <w:tcBorders>
              <w:left w:val="single" w:sz="4" w:space="0" w:color="auto"/>
            </w:tcBorders>
            <w:vAlign w:val="center"/>
          </w:tcPr>
          <w:p w14:paraId="6377CE78" w14:textId="692D056F" w:rsidR="0081669F" w:rsidRDefault="000B79E2" w:rsidP="00574E83">
            <w:pPr>
              <w:jc w:val="center"/>
            </w:pPr>
            <w:r>
              <w:sym w:font="Wingdings" w:char="F0FC"/>
            </w:r>
          </w:p>
        </w:tc>
      </w:tr>
      <w:tr w:rsidR="0081669F" w14:paraId="0D5E1105" w14:textId="77777777" w:rsidTr="00574E83">
        <w:trPr>
          <w:cantSplit/>
          <w:trHeight w:val="432"/>
        </w:trPr>
        <w:tc>
          <w:tcPr>
            <w:tcW w:w="2523" w:type="dxa"/>
            <w:tcBorders>
              <w:top w:val="nil"/>
              <w:left w:val="nil"/>
              <w:bottom w:val="nil"/>
              <w:right w:val="nil"/>
            </w:tcBorders>
          </w:tcPr>
          <w:p w14:paraId="474950AB" w14:textId="77777777" w:rsidR="0081669F" w:rsidRPr="00897325" w:rsidRDefault="0081669F" w:rsidP="0081669F">
            <w:pPr>
              <w:rPr>
                <w:rFonts w:ascii="Arial" w:hAnsi="Arial" w:cs="Arial"/>
                <w:sz w:val="16"/>
                <w:szCs w:val="16"/>
              </w:rPr>
            </w:pPr>
            <w:r w:rsidRPr="00897325">
              <w:rPr>
                <w:rFonts w:ascii="Arial" w:hAnsi="Arial" w:cs="Arial"/>
                <w:sz w:val="16"/>
                <w:szCs w:val="16"/>
              </w:rPr>
              <w:t>GCCCD/</w:t>
            </w:r>
            <w:r w:rsidRPr="00897325">
              <w:rPr>
                <w:rFonts w:ascii="Arial" w:hAnsi="Arial" w:cs="Arial"/>
                <w:sz w:val="16"/>
                <w:szCs w:val="16"/>
              </w:rPr>
              <w:br/>
              <w:t>Sheriff’s Office Sergeant</w:t>
            </w:r>
          </w:p>
        </w:tc>
        <w:tc>
          <w:tcPr>
            <w:tcW w:w="1796" w:type="dxa"/>
            <w:tcBorders>
              <w:top w:val="nil"/>
              <w:left w:val="nil"/>
              <w:bottom w:val="nil"/>
              <w:right w:val="single" w:sz="4" w:space="0" w:color="auto"/>
            </w:tcBorders>
          </w:tcPr>
          <w:p w14:paraId="62A88C0E" w14:textId="77777777" w:rsidR="0081669F" w:rsidRPr="00897325" w:rsidRDefault="0014311A" w:rsidP="0081669F">
            <w:pPr>
              <w:rPr>
                <w:rFonts w:ascii="Arial" w:hAnsi="Arial" w:cs="Arial"/>
                <w:sz w:val="16"/>
                <w:szCs w:val="16"/>
              </w:rPr>
            </w:pPr>
            <w:r>
              <w:rPr>
                <w:rFonts w:ascii="Arial" w:hAnsi="Arial" w:cs="Arial"/>
                <w:sz w:val="16"/>
                <w:szCs w:val="16"/>
              </w:rPr>
              <w:t>Jerry Jimenez</w:t>
            </w:r>
          </w:p>
        </w:tc>
        <w:tc>
          <w:tcPr>
            <w:tcW w:w="306" w:type="dxa"/>
            <w:tcBorders>
              <w:left w:val="single" w:sz="4" w:space="0" w:color="auto"/>
              <w:right w:val="single" w:sz="4" w:space="0" w:color="auto"/>
            </w:tcBorders>
            <w:vAlign w:val="center"/>
          </w:tcPr>
          <w:p w14:paraId="7711F06A" w14:textId="6A8E8CB9" w:rsidR="0081669F" w:rsidRDefault="0081669F" w:rsidP="00574E83">
            <w:pPr>
              <w:jc w:val="center"/>
            </w:pPr>
          </w:p>
        </w:tc>
        <w:tc>
          <w:tcPr>
            <w:tcW w:w="2321" w:type="dxa"/>
            <w:tcBorders>
              <w:top w:val="nil"/>
              <w:left w:val="single" w:sz="4" w:space="0" w:color="auto"/>
              <w:bottom w:val="nil"/>
              <w:right w:val="nil"/>
            </w:tcBorders>
          </w:tcPr>
          <w:p w14:paraId="064111F7" w14:textId="77777777" w:rsidR="0081669F" w:rsidRPr="00897325" w:rsidRDefault="0081669F" w:rsidP="0081669F">
            <w:pPr>
              <w:rPr>
                <w:rFonts w:ascii="Arial" w:hAnsi="Arial" w:cs="Arial"/>
                <w:sz w:val="16"/>
                <w:szCs w:val="16"/>
              </w:rPr>
            </w:pPr>
            <w:r w:rsidRPr="00897325">
              <w:rPr>
                <w:rFonts w:ascii="Arial" w:hAnsi="Arial" w:cs="Arial"/>
                <w:sz w:val="16"/>
                <w:szCs w:val="16"/>
              </w:rPr>
              <w:t>Director-Facilities Planning, Dev. &amp; Maintenance</w:t>
            </w:r>
          </w:p>
        </w:tc>
        <w:tc>
          <w:tcPr>
            <w:tcW w:w="1784" w:type="dxa"/>
            <w:tcBorders>
              <w:top w:val="nil"/>
              <w:left w:val="nil"/>
              <w:bottom w:val="nil"/>
              <w:right w:val="single" w:sz="4" w:space="0" w:color="auto"/>
            </w:tcBorders>
          </w:tcPr>
          <w:p w14:paraId="095AE329" w14:textId="77777777" w:rsidR="0081669F" w:rsidRPr="00897325" w:rsidRDefault="0081669F" w:rsidP="0081669F">
            <w:pPr>
              <w:rPr>
                <w:rFonts w:ascii="Arial" w:hAnsi="Arial" w:cs="Arial"/>
                <w:sz w:val="16"/>
                <w:szCs w:val="16"/>
              </w:rPr>
            </w:pPr>
            <w:r w:rsidRPr="00897325">
              <w:rPr>
                <w:rFonts w:ascii="Arial" w:hAnsi="Arial" w:cs="Arial"/>
                <w:sz w:val="16"/>
                <w:szCs w:val="16"/>
              </w:rPr>
              <w:t>Ken Emmons</w:t>
            </w:r>
          </w:p>
        </w:tc>
        <w:tc>
          <w:tcPr>
            <w:tcW w:w="317" w:type="dxa"/>
            <w:tcBorders>
              <w:left w:val="single" w:sz="4" w:space="0" w:color="auto"/>
            </w:tcBorders>
            <w:vAlign w:val="center"/>
          </w:tcPr>
          <w:p w14:paraId="7EC958BC" w14:textId="11E62DF1" w:rsidR="0081669F" w:rsidRDefault="000B79E2" w:rsidP="00574E83">
            <w:pPr>
              <w:jc w:val="center"/>
            </w:pPr>
            <w:r>
              <w:sym w:font="Wingdings" w:char="F0FC"/>
            </w:r>
          </w:p>
        </w:tc>
      </w:tr>
      <w:tr w:rsidR="0081669F" w14:paraId="1680A483" w14:textId="77777777" w:rsidTr="00574E83">
        <w:trPr>
          <w:cantSplit/>
          <w:trHeight w:val="432"/>
        </w:trPr>
        <w:tc>
          <w:tcPr>
            <w:tcW w:w="2523" w:type="dxa"/>
            <w:tcBorders>
              <w:top w:val="nil"/>
              <w:left w:val="nil"/>
              <w:bottom w:val="nil"/>
              <w:right w:val="nil"/>
            </w:tcBorders>
          </w:tcPr>
          <w:p w14:paraId="6CBFB5DE" w14:textId="77777777" w:rsidR="0081669F" w:rsidRPr="00897325" w:rsidRDefault="0081669F" w:rsidP="0081669F">
            <w:pPr>
              <w:spacing w:line="259" w:lineRule="auto"/>
              <w:rPr>
                <w:rFonts w:ascii="Arial" w:hAnsi="Arial" w:cs="Arial"/>
                <w:sz w:val="16"/>
                <w:szCs w:val="16"/>
              </w:rPr>
            </w:pPr>
            <w:r w:rsidRPr="00897325">
              <w:rPr>
                <w:rFonts w:ascii="Arial" w:hAnsi="Arial" w:cs="Arial"/>
                <w:sz w:val="16"/>
                <w:szCs w:val="16"/>
              </w:rPr>
              <w:t>GCCCD/Sheriff’s Office Deputy</w:t>
            </w:r>
          </w:p>
          <w:p w14:paraId="11B109AD" w14:textId="77777777" w:rsidR="0081669F" w:rsidRPr="00897325" w:rsidRDefault="0081669F" w:rsidP="0081669F">
            <w:pPr>
              <w:rPr>
                <w:rFonts w:ascii="Arial" w:hAnsi="Arial" w:cs="Arial"/>
                <w:sz w:val="16"/>
                <w:szCs w:val="16"/>
              </w:rPr>
            </w:pPr>
          </w:p>
        </w:tc>
        <w:tc>
          <w:tcPr>
            <w:tcW w:w="1796" w:type="dxa"/>
            <w:tcBorders>
              <w:top w:val="nil"/>
              <w:left w:val="nil"/>
              <w:bottom w:val="nil"/>
              <w:right w:val="single" w:sz="4" w:space="0" w:color="auto"/>
            </w:tcBorders>
          </w:tcPr>
          <w:p w14:paraId="4FCCE76C" w14:textId="77777777" w:rsidR="0081669F" w:rsidRPr="00897325" w:rsidRDefault="0081669F" w:rsidP="0081669F">
            <w:pPr>
              <w:rPr>
                <w:rFonts w:ascii="Arial" w:hAnsi="Arial" w:cs="Arial"/>
                <w:sz w:val="16"/>
                <w:szCs w:val="16"/>
              </w:rPr>
            </w:pPr>
            <w:r w:rsidRPr="00897325">
              <w:rPr>
                <w:rFonts w:ascii="Arial" w:hAnsi="Arial" w:cs="Arial"/>
                <w:sz w:val="16"/>
                <w:szCs w:val="16"/>
              </w:rPr>
              <w:t>Deputy on Duty</w:t>
            </w:r>
          </w:p>
        </w:tc>
        <w:tc>
          <w:tcPr>
            <w:tcW w:w="306" w:type="dxa"/>
            <w:tcBorders>
              <w:left w:val="single" w:sz="4" w:space="0" w:color="auto"/>
              <w:right w:val="single" w:sz="4" w:space="0" w:color="auto"/>
            </w:tcBorders>
            <w:vAlign w:val="center"/>
          </w:tcPr>
          <w:p w14:paraId="02D6EF35" w14:textId="77777777" w:rsidR="0081669F" w:rsidRDefault="0081669F" w:rsidP="00574E83">
            <w:pPr>
              <w:jc w:val="center"/>
            </w:pPr>
          </w:p>
        </w:tc>
        <w:tc>
          <w:tcPr>
            <w:tcW w:w="2321" w:type="dxa"/>
            <w:tcBorders>
              <w:top w:val="nil"/>
              <w:left w:val="single" w:sz="4" w:space="0" w:color="auto"/>
              <w:bottom w:val="nil"/>
              <w:right w:val="nil"/>
            </w:tcBorders>
          </w:tcPr>
          <w:p w14:paraId="0AA376FC" w14:textId="77777777" w:rsidR="0081669F" w:rsidRPr="00897325" w:rsidRDefault="0081669F" w:rsidP="0081669F">
            <w:pPr>
              <w:rPr>
                <w:rFonts w:ascii="Arial" w:hAnsi="Arial" w:cs="Arial"/>
                <w:sz w:val="16"/>
                <w:szCs w:val="16"/>
              </w:rPr>
            </w:pPr>
            <w:r w:rsidRPr="00897325">
              <w:rPr>
                <w:rFonts w:ascii="Arial" w:hAnsi="Arial" w:cs="Arial"/>
                <w:sz w:val="16"/>
                <w:szCs w:val="16"/>
              </w:rPr>
              <w:t>Director-Campus Facilities – CC</w:t>
            </w:r>
          </w:p>
        </w:tc>
        <w:tc>
          <w:tcPr>
            <w:tcW w:w="1784" w:type="dxa"/>
            <w:tcBorders>
              <w:top w:val="nil"/>
              <w:left w:val="nil"/>
              <w:bottom w:val="nil"/>
              <w:right w:val="single" w:sz="4" w:space="0" w:color="auto"/>
            </w:tcBorders>
          </w:tcPr>
          <w:p w14:paraId="3C1853E7" w14:textId="77777777" w:rsidR="0081669F" w:rsidRPr="00897325" w:rsidRDefault="0081669F" w:rsidP="0081669F">
            <w:pPr>
              <w:rPr>
                <w:rFonts w:ascii="Arial" w:hAnsi="Arial" w:cs="Arial"/>
                <w:sz w:val="16"/>
                <w:szCs w:val="16"/>
              </w:rPr>
            </w:pPr>
            <w:r w:rsidRPr="00897325">
              <w:rPr>
                <w:rFonts w:ascii="Arial" w:hAnsi="Arial" w:cs="Arial"/>
                <w:sz w:val="16"/>
                <w:szCs w:val="16"/>
              </w:rPr>
              <w:t>Francisco Gonzalez</w:t>
            </w:r>
          </w:p>
        </w:tc>
        <w:tc>
          <w:tcPr>
            <w:tcW w:w="317" w:type="dxa"/>
            <w:tcBorders>
              <w:left w:val="single" w:sz="4" w:space="0" w:color="auto"/>
            </w:tcBorders>
            <w:vAlign w:val="center"/>
          </w:tcPr>
          <w:p w14:paraId="0C5791CA" w14:textId="5C2A8F17" w:rsidR="0081669F" w:rsidRDefault="0081669F" w:rsidP="00574E83">
            <w:pPr>
              <w:jc w:val="center"/>
            </w:pPr>
          </w:p>
        </w:tc>
      </w:tr>
      <w:tr w:rsidR="0081669F" w14:paraId="489283D6" w14:textId="77777777" w:rsidTr="00574E83">
        <w:trPr>
          <w:cantSplit/>
          <w:trHeight w:val="432"/>
        </w:trPr>
        <w:tc>
          <w:tcPr>
            <w:tcW w:w="2523" w:type="dxa"/>
            <w:tcBorders>
              <w:top w:val="nil"/>
              <w:left w:val="nil"/>
              <w:bottom w:val="nil"/>
              <w:right w:val="nil"/>
            </w:tcBorders>
          </w:tcPr>
          <w:p w14:paraId="6033FCEC" w14:textId="77777777" w:rsidR="0081669F" w:rsidRPr="00897325" w:rsidRDefault="0081669F" w:rsidP="0081669F">
            <w:pPr>
              <w:rPr>
                <w:rFonts w:ascii="Arial" w:hAnsi="Arial" w:cs="Arial"/>
                <w:sz w:val="16"/>
                <w:szCs w:val="16"/>
              </w:rPr>
            </w:pPr>
            <w:r w:rsidRPr="00897325">
              <w:rPr>
                <w:rFonts w:ascii="Arial" w:hAnsi="Arial" w:cs="Arial"/>
                <w:sz w:val="16"/>
                <w:szCs w:val="16"/>
              </w:rPr>
              <w:t>CAPS Specialist</w:t>
            </w:r>
            <w:r w:rsidR="00150530">
              <w:rPr>
                <w:rFonts w:ascii="Arial" w:hAnsi="Arial" w:cs="Arial"/>
                <w:sz w:val="16"/>
                <w:szCs w:val="16"/>
              </w:rPr>
              <w:t xml:space="preserve"> on duty</w:t>
            </w:r>
          </w:p>
        </w:tc>
        <w:tc>
          <w:tcPr>
            <w:tcW w:w="1796" w:type="dxa"/>
            <w:tcBorders>
              <w:top w:val="nil"/>
              <w:left w:val="nil"/>
              <w:bottom w:val="nil"/>
              <w:right w:val="single" w:sz="4" w:space="0" w:color="auto"/>
            </w:tcBorders>
          </w:tcPr>
          <w:p w14:paraId="457AC094" w14:textId="559712E1" w:rsidR="0081669F" w:rsidRPr="00897325" w:rsidRDefault="009D0CEA" w:rsidP="0081669F">
            <w:pPr>
              <w:rPr>
                <w:rFonts w:ascii="Arial" w:hAnsi="Arial" w:cs="Arial"/>
                <w:sz w:val="16"/>
                <w:szCs w:val="16"/>
              </w:rPr>
            </w:pPr>
            <w:r>
              <w:rPr>
                <w:rFonts w:ascii="Arial" w:hAnsi="Arial" w:cs="Arial"/>
                <w:sz w:val="16"/>
                <w:szCs w:val="16"/>
              </w:rPr>
              <w:t>TBD</w:t>
            </w:r>
          </w:p>
        </w:tc>
        <w:tc>
          <w:tcPr>
            <w:tcW w:w="306" w:type="dxa"/>
            <w:tcBorders>
              <w:left w:val="single" w:sz="4" w:space="0" w:color="auto"/>
              <w:right w:val="single" w:sz="4" w:space="0" w:color="auto"/>
            </w:tcBorders>
            <w:vAlign w:val="center"/>
          </w:tcPr>
          <w:p w14:paraId="113AB540" w14:textId="79B99136" w:rsidR="0081669F" w:rsidRDefault="0081669F" w:rsidP="00574E83">
            <w:pPr>
              <w:jc w:val="center"/>
            </w:pPr>
          </w:p>
        </w:tc>
        <w:tc>
          <w:tcPr>
            <w:tcW w:w="2321" w:type="dxa"/>
            <w:tcBorders>
              <w:top w:val="nil"/>
              <w:left w:val="single" w:sz="4" w:space="0" w:color="auto"/>
              <w:bottom w:val="nil"/>
              <w:right w:val="nil"/>
            </w:tcBorders>
          </w:tcPr>
          <w:p w14:paraId="144816AB" w14:textId="77777777" w:rsidR="0081669F" w:rsidRPr="00897325" w:rsidRDefault="0081669F" w:rsidP="0081669F">
            <w:pPr>
              <w:rPr>
                <w:rFonts w:ascii="Arial" w:hAnsi="Arial" w:cs="Arial"/>
                <w:sz w:val="16"/>
                <w:szCs w:val="16"/>
              </w:rPr>
            </w:pPr>
            <w:r w:rsidRPr="00897325">
              <w:rPr>
                <w:rFonts w:ascii="Arial" w:hAnsi="Arial" w:cs="Arial"/>
                <w:sz w:val="16"/>
                <w:szCs w:val="16"/>
              </w:rPr>
              <w:t>Director-Campus Facilities – GC</w:t>
            </w:r>
          </w:p>
        </w:tc>
        <w:tc>
          <w:tcPr>
            <w:tcW w:w="1784" w:type="dxa"/>
            <w:tcBorders>
              <w:top w:val="nil"/>
              <w:left w:val="nil"/>
              <w:bottom w:val="nil"/>
              <w:right w:val="single" w:sz="4" w:space="0" w:color="auto"/>
            </w:tcBorders>
          </w:tcPr>
          <w:p w14:paraId="2C9A5D5D" w14:textId="77777777" w:rsidR="0081669F" w:rsidRPr="00897325" w:rsidRDefault="0081669F" w:rsidP="0081669F">
            <w:pPr>
              <w:rPr>
                <w:rFonts w:ascii="Arial" w:hAnsi="Arial" w:cs="Arial"/>
                <w:sz w:val="16"/>
                <w:szCs w:val="16"/>
              </w:rPr>
            </w:pPr>
            <w:r w:rsidRPr="00897325">
              <w:rPr>
                <w:rFonts w:ascii="Arial" w:hAnsi="Arial" w:cs="Arial"/>
                <w:sz w:val="16"/>
                <w:szCs w:val="16"/>
              </w:rPr>
              <w:t>Loren Holmquist</w:t>
            </w:r>
          </w:p>
        </w:tc>
        <w:tc>
          <w:tcPr>
            <w:tcW w:w="317" w:type="dxa"/>
            <w:tcBorders>
              <w:left w:val="single" w:sz="4" w:space="0" w:color="auto"/>
            </w:tcBorders>
            <w:vAlign w:val="center"/>
          </w:tcPr>
          <w:p w14:paraId="38FC77F3" w14:textId="5AF55C63" w:rsidR="0081669F" w:rsidRDefault="000B79E2" w:rsidP="00574E83">
            <w:pPr>
              <w:jc w:val="center"/>
            </w:pPr>
            <w:r>
              <w:sym w:font="Wingdings" w:char="F0FC"/>
            </w:r>
          </w:p>
        </w:tc>
      </w:tr>
      <w:tr w:rsidR="0081669F" w14:paraId="40D5CF9A" w14:textId="77777777" w:rsidTr="00574E83">
        <w:trPr>
          <w:cantSplit/>
          <w:trHeight w:val="432"/>
        </w:trPr>
        <w:tc>
          <w:tcPr>
            <w:tcW w:w="2523" w:type="dxa"/>
            <w:tcBorders>
              <w:top w:val="nil"/>
              <w:left w:val="nil"/>
              <w:bottom w:val="nil"/>
              <w:right w:val="nil"/>
            </w:tcBorders>
          </w:tcPr>
          <w:p w14:paraId="37D88B6C" w14:textId="77777777" w:rsidR="0081669F" w:rsidRPr="00897325" w:rsidRDefault="0081669F" w:rsidP="0081669F">
            <w:pPr>
              <w:rPr>
                <w:rFonts w:ascii="Arial" w:hAnsi="Arial" w:cs="Arial"/>
                <w:sz w:val="16"/>
                <w:szCs w:val="16"/>
              </w:rPr>
            </w:pPr>
            <w:r w:rsidRPr="00897325">
              <w:rPr>
                <w:rFonts w:ascii="Arial" w:hAnsi="Arial" w:cs="Arial"/>
                <w:sz w:val="16"/>
                <w:szCs w:val="16"/>
              </w:rPr>
              <w:t>Cuyamaca EPC Representative Chair or Co-Chair</w:t>
            </w:r>
          </w:p>
        </w:tc>
        <w:tc>
          <w:tcPr>
            <w:tcW w:w="1796" w:type="dxa"/>
            <w:tcBorders>
              <w:top w:val="nil"/>
              <w:left w:val="nil"/>
              <w:bottom w:val="nil"/>
              <w:right w:val="single" w:sz="4" w:space="0" w:color="auto"/>
            </w:tcBorders>
          </w:tcPr>
          <w:p w14:paraId="0969908B" w14:textId="77777777" w:rsidR="0081669F" w:rsidRPr="00897325" w:rsidRDefault="0081669F" w:rsidP="0081669F">
            <w:pPr>
              <w:rPr>
                <w:rFonts w:ascii="Arial" w:hAnsi="Arial" w:cs="Arial"/>
                <w:sz w:val="16"/>
                <w:szCs w:val="16"/>
              </w:rPr>
            </w:pPr>
            <w:r w:rsidRPr="00897325">
              <w:rPr>
                <w:rFonts w:ascii="Arial" w:hAnsi="Arial" w:cs="Arial"/>
                <w:sz w:val="16"/>
                <w:szCs w:val="16"/>
              </w:rPr>
              <w:t>Nicole Salgado</w:t>
            </w:r>
          </w:p>
          <w:p w14:paraId="31DAE3F6" w14:textId="77777777" w:rsidR="0081669F" w:rsidRPr="00897325" w:rsidRDefault="0081669F" w:rsidP="0081669F">
            <w:pPr>
              <w:rPr>
                <w:rFonts w:ascii="Arial" w:hAnsi="Arial" w:cs="Arial"/>
                <w:sz w:val="16"/>
                <w:szCs w:val="16"/>
              </w:rPr>
            </w:pPr>
          </w:p>
        </w:tc>
        <w:tc>
          <w:tcPr>
            <w:tcW w:w="306" w:type="dxa"/>
            <w:tcBorders>
              <w:left w:val="single" w:sz="4" w:space="0" w:color="auto"/>
              <w:right w:val="single" w:sz="4" w:space="0" w:color="auto"/>
            </w:tcBorders>
            <w:vAlign w:val="center"/>
          </w:tcPr>
          <w:p w14:paraId="35682870" w14:textId="5F04B60F" w:rsidR="0081669F" w:rsidRDefault="0081669F" w:rsidP="00574E83">
            <w:pPr>
              <w:jc w:val="center"/>
            </w:pPr>
          </w:p>
        </w:tc>
        <w:tc>
          <w:tcPr>
            <w:tcW w:w="2321" w:type="dxa"/>
            <w:tcBorders>
              <w:top w:val="nil"/>
              <w:left w:val="single" w:sz="4" w:space="0" w:color="auto"/>
              <w:bottom w:val="nil"/>
              <w:right w:val="nil"/>
            </w:tcBorders>
          </w:tcPr>
          <w:p w14:paraId="77E422E1" w14:textId="77777777" w:rsidR="0081669F" w:rsidRPr="00897325" w:rsidRDefault="0081669F" w:rsidP="0081669F">
            <w:pPr>
              <w:rPr>
                <w:rFonts w:ascii="Arial" w:hAnsi="Arial" w:cs="Arial"/>
                <w:sz w:val="16"/>
                <w:szCs w:val="16"/>
              </w:rPr>
            </w:pPr>
            <w:r w:rsidRPr="00897325">
              <w:rPr>
                <w:rFonts w:ascii="Arial" w:hAnsi="Arial" w:cs="Arial"/>
                <w:sz w:val="16"/>
                <w:szCs w:val="16"/>
              </w:rPr>
              <w:t>Director-Communications and Public Information</w:t>
            </w:r>
          </w:p>
          <w:p w14:paraId="061B1BE9" w14:textId="77777777" w:rsidR="0081669F" w:rsidRPr="00897325" w:rsidRDefault="0081669F" w:rsidP="0081669F">
            <w:pPr>
              <w:rPr>
                <w:rFonts w:ascii="Arial" w:hAnsi="Arial" w:cs="Arial"/>
                <w:sz w:val="16"/>
                <w:szCs w:val="16"/>
              </w:rPr>
            </w:pPr>
          </w:p>
        </w:tc>
        <w:tc>
          <w:tcPr>
            <w:tcW w:w="1784" w:type="dxa"/>
            <w:tcBorders>
              <w:top w:val="nil"/>
              <w:left w:val="nil"/>
              <w:bottom w:val="nil"/>
              <w:right w:val="single" w:sz="4" w:space="0" w:color="auto"/>
            </w:tcBorders>
          </w:tcPr>
          <w:p w14:paraId="590A6B05" w14:textId="77777777" w:rsidR="0081669F" w:rsidRPr="00897325" w:rsidRDefault="0081669F" w:rsidP="0081669F">
            <w:pPr>
              <w:rPr>
                <w:rFonts w:ascii="Arial" w:hAnsi="Arial" w:cs="Arial"/>
                <w:sz w:val="16"/>
                <w:szCs w:val="16"/>
              </w:rPr>
            </w:pPr>
            <w:r w:rsidRPr="00897325">
              <w:rPr>
                <w:rFonts w:ascii="Arial" w:hAnsi="Arial" w:cs="Arial"/>
                <w:sz w:val="16"/>
                <w:szCs w:val="16"/>
              </w:rPr>
              <w:t>Michele Clock</w:t>
            </w:r>
          </w:p>
          <w:p w14:paraId="7FB8938D" w14:textId="77777777" w:rsidR="0081669F" w:rsidRPr="00897325" w:rsidRDefault="0081669F" w:rsidP="0081669F">
            <w:pPr>
              <w:rPr>
                <w:rFonts w:ascii="Arial" w:hAnsi="Arial" w:cs="Arial"/>
                <w:sz w:val="16"/>
                <w:szCs w:val="16"/>
              </w:rPr>
            </w:pPr>
          </w:p>
        </w:tc>
        <w:tc>
          <w:tcPr>
            <w:tcW w:w="317" w:type="dxa"/>
            <w:tcBorders>
              <w:left w:val="single" w:sz="4" w:space="0" w:color="auto"/>
            </w:tcBorders>
            <w:vAlign w:val="center"/>
          </w:tcPr>
          <w:p w14:paraId="67018846" w14:textId="39C523A6" w:rsidR="0081669F" w:rsidRDefault="000B79E2" w:rsidP="00574E83">
            <w:pPr>
              <w:jc w:val="center"/>
            </w:pPr>
            <w:r>
              <w:sym w:font="Wingdings" w:char="F0FC"/>
            </w:r>
          </w:p>
        </w:tc>
      </w:tr>
      <w:tr w:rsidR="0081669F" w14:paraId="246DB393" w14:textId="77777777" w:rsidTr="00574E83">
        <w:trPr>
          <w:cantSplit/>
          <w:trHeight w:val="432"/>
        </w:trPr>
        <w:tc>
          <w:tcPr>
            <w:tcW w:w="2523" w:type="dxa"/>
            <w:tcBorders>
              <w:top w:val="nil"/>
              <w:left w:val="nil"/>
              <w:bottom w:val="nil"/>
              <w:right w:val="nil"/>
            </w:tcBorders>
          </w:tcPr>
          <w:p w14:paraId="658A2F8B" w14:textId="77777777" w:rsidR="0081669F" w:rsidRPr="00897325" w:rsidRDefault="0081669F" w:rsidP="0081669F">
            <w:pPr>
              <w:rPr>
                <w:rFonts w:ascii="Arial" w:hAnsi="Arial" w:cs="Arial"/>
                <w:sz w:val="16"/>
                <w:szCs w:val="16"/>
              </w:rPr>
            </w:pPr>
            <w:r w:rsidRPr="00897325">
              <w:rPr>
                <w:rFonts w:ascii="Arial" w:hAnsi="Arial" w:cs="Arial"/>
                <w:sz w:val="16"/>
                <w:szCs w:val="16"/>
              </w:rPr>
              <w:t>Grossmont EPC Representative Chair or Co-Chair</w:t>
            </w:r>
          </w:p>
        </w:tc>
        <w:tc>
          <w:tcPr>
            <w:tcW w:w="1796" w:type="dxa"/>
            <w:tcBorders>
              <w:top w:val="nil"/>
              <w:left w:val="nil"/>
              <w:bottom w:val="nil"/>
              <w:right w:val="single" w:sz="4" w:space="0" w:color="auto"/>
            </w:tcBorders>
          </w:tcPr>
          <w:p w14:paraId="014ED738" w14:textId="77777777" w:rsidR="0081669F" w:rsidRPr="00897325" w:rsidRDefault="0081669F" w:rsidP="0081669F">
            <w:pPr>
              <w:rPr>
                <w:rFonts w:ascii="Arial" w:hAnsi="Arial" w:cs="Arial"/>
                <w:sz w:val="16"/>
                <w:szCs w:val="16"/>
              </w:rPr>
            </w:pPr>
            <w:r w:rsidRPr="00897325">
              <w:rPr>
                <w:rFonts w:ascii="Arial" w:hAnsi="Arial" w:cs="Arial"/>
                <w:sz w:val="16"/>
                <w:szCs w:val="16"/>
              </w:rPr>
              <w:t>Jeff Lehman</w:t>
            </w:r>
          </w:p>
        </w:tc>
        <w:tc>
          <w:tcPr>
            <w:tcW w:w="306" w:type="dxa"/>
            <w:tcBorders>
              <w:left w:val="single" w:sz="4" w:space="0" w:color="auto"/>
              <w:right w:val="single" w:sz="4" w:space="0" w:color="auto"/>
            </w:tcBorders>
            <w:vAlign w:val="center"/>
          </w:tcPr>
          <w:p w14:paraId="48A32C27" w14:textId="77777777" w:rsidR="0081669F" w:rsidRDefault="0081669F" w:rsidP="00574E83">
            <w:pPr>
              <w:jc w:val="center"/>
            </w:pPr>
          </w:p>
        </w:tc>
        <w:tc>
          <w:tcPr>
            <w:tcW w:w="2321" w:type="dxa"/>
            <w:tcBorders>
              <w:top w:val="nil"/>
              <w:left w:val="single" w:sz="4" w:space="0" w:color="auto"/>
              <w:bottom w:val="nil"/>
              <w:right w:val="nil"/>
            </w:tcBorders>
          </w:tcPr>
          <w:p w14:paraId="36E19F79" w14:textId="77777777" w:rsidR="0081669F" w:rsidRPr="00897325" w:rsidRDefault="00056558" w:rsidP="0081669F">
            <w:pPr>
              <w:rPr>
                <w:rFonts w:ascii="Arial" w:hAnsi="Arial" w:cs="Arial"/>
                <w:sz w:val="16"/>
                <w:szCs w:val="16"/>
              </w:rPr>
            </w:pPr>
            <w:r>
              <w:rPr>
                <w:rFonts w:ascii="Arial" w:hAnsi="Arial" w:cs="Arial"/>
                <w:sz w:val="16"/>
                <w:szCs w:val="16"/>
              </w:rPr>
              <w:t>Administrators Association Rep</w:t>
            </w:r>
          </w:p>
        </w:tc>
        <w:tc>
          <w:tcPr>
            <w:tcW w:w="1784" w:type="dxa"/>
            <w:tcBorders>
              <w:top w:val="nil"/>
              <w:left w:val="nil"/>
              <w:bottom w:val="nil"/>
              <w:right w:val="single" w:sz="4" w:space="0" w:color="auto"/>
            </w:tcBorders>
          </w:tcPr>
          <w:p w14:paraId="08AFB8F5" w14:textId="12E8F0F9" w:rsidR="0081669F" w:rsidRPr="00897325" w:rsidRDefault="009D0CEA" w:rsidP="0081669F">
            <w:pPr>
              <w:rPr>
                <w:rFonts w:ascii="Arial" w:hAnsi="Arial" w:cs="Arial"/>
                <w:sz w:val="16"/>
                <w:szCs w:val="16"/>
              </w:rPr>
            </w:pPr>
            <w:r>
              <w:rPr>
                <w:rFonts w:ascii="Arial" w:hAnsi="Arial" w:cs="Arial"/>
                <w:sz w:val="16"/>
                <w:szCs w:val="16"/>
              </w:rPr>
              <w:t>Gaby Avila Garcia</w:t>
            </w:r>
          </w:p>
        </w:tc>
        <w:tc>
          <w:tcPr>
            <w:tcW w:w="317" w:type="dxa"/>
            <w:tcBorders>
              <w:left w:val="single" w:sz="4" w:space="0" w:color="auto"/>
            </w:tcBorders>
            <w:vAlign w:val="center"/>
          </w:tcPr>
          <w:p w14:paraId="585733DE" w14:textId="667F3946" w:rsidR="0081669F" w:rsidRDefault="000B79E2" w:rsidP="00574E83">
            <w:pPr>
              <w:jc w:val="center"/>
            </w:pPr>
            <w:r>
              <w:sym w:font="Wingdings" w:char="F0FC"/>
            </w:r>
          </w:p>
        </w:tc>
      </w:tr>
      <w:tr w:rsidR="0081669F" w14:paraId="10091106" w14:textId="77777777" w:rsidTr="00574E83">
        <w:trPr>
          <w:cantSplit/>
          <w:trHeight w:val="432"/>
        </w:trPr>
        <w:tc>
          <w:tcPr>
            <w:tcW w:w="2523" w:type="dxa"/>
            <w:tcBorders>
              <w:top w:val="nil"/>
              <w:left w:val="nil"/>
              <w:bottom w:val="nil"/>
              <w:right w:val="nil"/>
            </w:tcBorders>
          </w:tcPr>
          <w:p w14:paraId="1F8EE5C5" w14:textId="77777777" w:rsidR="0081669F" w:rsidRPr="00897325" w:rsidRDefault="0081669F" w:rsidP="0081669F">
            <w:pPr>
              <w:rPr>
                <w:rFonts w:ascii="Arial" w:hAnsi="Arial" w:cs="Arial"/>
                <w:sz w:val="16"/>
                <w:szCs w:val="16"/>
              </w:rPr>
            </w:pPr>
            <w:r w:rsidRPr="00897325">
              <w:rPr>
                <w:rFonts w:ascii="Arial" w:hAnsi="Arial" w:cs="Arial"/>
                <w:sz w:val="16"/>
                <w:szCs w:val="16"/>
              </w:rPr>
              <w:t>Public Safety Compliance</w:t>
            </w:r>
          </w:p>
        </w:tc>
        <w:tc>
          <w:tcPr>
            <w:tcW w:w="1796" w:type="dxa"/>
            <w:tcBorders>
              <w:top w:val="nil"/>
              <w:left w:val="nil"/>
              <w:bottom w:val="nil"/>
              <w:right w:val="single" w:sz="4" w:space="0" w:color="auto"/>
            </w:tcBorders>
          </w:tcPr>
          <w:p w14:paraId="48118876" w14:textId="1C60B883" w:rsidR="0081669F" w:rsidRPr="00897325" w:rsidRDefault="00A62074" w:rsidP="0081669F">
            <w:pPr>
              <w:rPr>
                <w:rFonts w:ascii="Arial" w:hAnsi="Arial" w:cs="Arial"/>
                <w:sz w:val="16"/>
                <w:szCs w:val="16"/>
              </w:rPr>
            </w:pPr>
            <w:r>
              <w:rPr>
                <w:rFonts w:ascii="Arial" w:hAnsi="Arial" w:cs="Arial"/>
                <w:sz w:val="16"/>
                <w:szCs w:val="16"/>
              </w:rPr>
              <w:t>Daryl Johnson</w:t>
            </w:r>
          </w:p>
        </w:tc>
        <w:tc>
          <w:tcPr>
            <w:tcW w:w="306" w:type="dxa"/>
            <w:tcBorders>
              <w:left w:val="single" w:sz="4" w:space="0" w:color="auto"/>
              <w:right w:val="single" w:sz="4" w:space="0" w:color="auto"/>
            </w:tcBorders>
            <w:vAlign w:val="center"/>
          </w:tcPr>
          <w:p w14:paraId="63AD0529" w14:textId="0893189B" w:rsidR="0081669F" w:rsidRDefault="000B79E2" w:rsidP="00574E83">
            <w:pPr>
              <w:jc w:val="center"/>
            </w:pPr>
            <w:r>
              <w:sym w:font="Wingdings" w:char="F0FC"/>
            </w:r>
          </w:p>
        </w:tc>
        <w:tc>
          <w:tcPr>
            <w:tcW w:w="2321" w:type="dxa"/>
            <w:tcBorders>
              <w:top w:val="nil"/>
              <w:left w:val="single" w:sz="4" w:space="0" w:color="auto"/>
              <w:bottom w:val="nil"/>
              <w:right w:val="nil"/>
            </w:tcBorders>
          </w:tcPr>
          <w:p w14:paraId="7FABDE1E" w14:textId="33B55CA3" w:rsidR="0081669F" w:rsidRPr="00897325" w:rsidRDefault="0081669F" w:rsidP="0081669F">
            <w:pPr>
              <w:rPr>
                <w:rFonts w:ascii="Arial" w:hAnsi="Arial" w:cs="Arial"/>
                <w:sz w:val="16"/>
                <w:szCs w:val="16"/>
              </w:rPr>
            </w:pPr>
            <w:r w:rsidRPr="00897325">
              <w:rPr>
                <w:rFonts w:ascii="Arial" w:hAnsi="Arial" w:cs="Arial"/>
                <w:sz w:val="16"/>
                <w:szCs w:val="16"/>
              </w:rPr>
              <w:t>Student Representatives</w:t>
            </w:r>
            <w:r w:rsidR="00A1173A">
              <w:rPr>
                <w:rFonts w:ascii="Arial" w:hAnsi="Arial" w:cs="Arial"/>
                <w:sz w:val="16"/>
                <w:szCs w:val="16"/>
              </w:rPr>
              <w:t xml:space="preserve"> GC and CC</w:t>
            </w:r>
          </w:p>
        </w:tc>
        <w:tc>
          <w:tcPr>
            <w:tcW w:w="1784" w:type="dxa"/>
            <w:tcBorders>
              <w:top w:val="nil"/>
              <w:left w:val="nil"/>
              <w:bottom w:val="nil"/>
              <w:right w:val="single" w:sz="4" w:space="0" w:color="auto"/>
            </w:tcBorders>
          </w:tcPr>
          <w:p w14:paraId="7BD8BB25" w14:textId="77777777" w:rsidR="0081669F" w:rsidRDefault="008738F4" w:rsidP="008738F4">
            <w:pPr>
              <w:rPr>
                <w:rFonts w:ascii="Arial" w:hAnsi="Arial" w:cs="Arial"/>
                <w:sz w:val="16"/>
                <w:szCs w:val="16"/>
              </w:rPr>
            </w:pPr>
            <w:r>
              <w:rPr>
                <w:rFonts w:ascii="Arial" w:hAnsi="Arial" w:cs="Arial"/>
                <w:sz w:val="16"/>
                <w:szCs w:val="16"/>
              </w:rPr>
              <w:t>Sasha Reva</w:t>
            </w:r>
          </w:p>
          <w:p w14:paraId="7F751822" w14:textId="7E68E018" w:rsidR="008738F4" w:rsidRPr="00897325" w:rsidRDefault="00292D45" w:rsidP="008738F4">
            <w:pPr>
              <w:rPr>
                <w:rFonts w:ascii="Arial" w:hAnsi="Arial" w:cs="Arial"/>
                <w:sz w:val="16"/>
                <w:szCs w:val="16"/>
              </w:rPr>
            </w:pPr>
            <w:r>
              <w:rPr>
                <w:rFonts w:ascii="Arial" w:hAnsi="Arial" w:cs="Arial"/>
                <w:sz w:val="16"/>
                <w:szCs w:val="16"/>
              </w:rPr>
              <w:t>Courtney Etnyre</w:t>
            </w:r>
          </w:p>
        </w:tc>
        <w:tc>
          <w:tcPr>
            <w:tcW w:w="317" w:type="dxa"/>
            <w:tcBorders>
              <w:left w:val="single" w:sz="4" w:space="0" w:color="auto"/>
            </w:tcBorders>
            <w:vAlign w:val="center"/>
          </w:tcPr>
          <w:p w14:paraId="4A2BDEA4" w14:textId="77777777" w:rsidR="0081669F" w:rsidRDefault="0081669F" w:rsidP="00574E83">
            <w:pPr>
              <w:jc w:val="center"/>
            </w:pPr>
          </w:p>
        </w:tc>
      </w:tr>
      <w:tr w:rsidR="0081669F" w14:paraId="6E372CA4" w14:textId="77777777" w:rsidTr="00574E83">
        <w:trPr>
          <w:cantSplit/>
          <w:trHeight w:val="432"/>
        </w:trPr>
        <w:tc>
          <w:tcPr>
            <w:tcW w:w="2523" w:type="dxa"/>
            <w:tcBorders>
              <w:top w:val="nil"/>
              <w:left w:val="nil"/>
              <w:bottom w:val="nil"/>
              <w:right w:val="nil"/>
            </w:tcBorders>
          </w:tcPr>
          <w:p w14:paraId="46DEC5AE" w14:textId="77777777" w:rsidR="0081669F" w:rsidRPr="00897325" w:rsidRDefault="0081669F" w:rsidP="0081669F">
            <w:pPr>
              <w:rPr>
                <w:rFonts w:ascii="Arial" w:hAnsi="Arial" w:cs="Arial"/>
                <w:sz w:val="16"/>
                <w:szCs w:val="16"/>
              </w:rPr>
            </w:pPr>
            <w:r w:rsidRPr="00897325">
              <w:rPr>
                <w:rFonts w:ascii="Arial" w:hAnsi="Arial" w:cs="Arial"/>
                <w:sz w:val="16"/>
                <w:szCs w:val="16"/>
              </w:rPr>
              <w:t xml:space="preserve">Extended Cabinet Rep             </w:t>
            </w:r>
          </w:p>
        </w:tc>
        <w:tc>
          <w:tcPr>
            <w:tcW w:w="1796" w:type="dxa"/>
            <w:tcBorders>
              <w:top w:val="nil"/>
              <w:left w:val="nil"/>
              <w:bottom w:val="nil"/>
              <w:right w:val="single" w:sz="4" w:space="0" w:color="auto"/>
            </w:tcBorders>
          </w:tcPr>
          <w:p w14:paraId="6B528E62" w14:textId="133AE81E" w:rsidR="0081669F" w:rsidRPr="00897325" w:rsidRDefault="009D0CEA" w:rsidP="0081669F">
            <w:pPr>
              <w:rPr>
                <w:rFonts w:ascii="Arial" w:hAnsi="Arial" w:cs="Arial"/>
                <w:sz w:val="16"/>
                <w:szCs w:val="16"/>
              </w:rPr>
            </w:pPr>
            <w:r>
              <w:rPr>
                <w:rFonts w:ascii="Arial" w:hAnsi="Arial" w:cs="Arial"/>
                <w:sz w:val="16"/>
                <w:szCs w:val="16"/>
              </w:rPr>
              <w:t>TBD</w:t>
            </w:r>
          </w:p>
        </w:tc>
        <w:tc>
          <w:tcPr>
            <w:tcW w:w="306" w:type="dxa"/>
            <w:tcBorders>
              <w:left w:val="single" w:sz="4" w:space="0" w:color="auto"/>
              <w:right w:val="single" w:sz="4" w:space="0" w:color="auto"/>
            </w:tcBorders>
            <w:vAlign w:val="center"/>
          </w:tcPr>
          <w:p w14:paraId="592D2E33" w14:textId="0C66630A" w:rsidR="0081669F" w:rsidRDefault="0081669F" w:rsidP="00574E83">
            <w:pPr>
              <w:jc w:val="center"/>
            </w:pPr>
          </w:p>
        </w:tc>
        <w:tc>
          <w:tcPr>
            <w:tcW w:w="2321" w:type="dxa"/>
            <w:tcBorders>
              <w:top w:val="nil"/>
              <w:left w:val="single" w:sz="4" w:space="0" w:color="auto"/>
              <w:bottom w:val="nil"/>
              <w:right w:val="nil"/>
            </w:tcBorders>
          </w:tcPr>
          <w:p w14:paraId="35524A3F" w14:textId="77777777" w:rsidR="0081669F" w:rsidRPr="00897325" w:rsidRDefault="0081669F" w:rsidP="0084780D">
            <w:pPr>
              <w:rPr>
                <w:rFonts w:ascii="Arial" w:hAnsi="Arial" w:cs="Arial"/>
                <w:sz w:val="16"/>
                <w:szCs w:val="16"/>
              </w:rPr>
            </w:pPr>
            <w:r w:rsidRPr="00897325">
              <w:rPr>
                <w:rFonts w:ascii="Arial" w:hAnsi="Arial" w:cs="Arial"/>
                <w:sz w:val="16"/>
                <w:szCs w:val="16"/>
              </w:rPr>
              <w:t xml:space="preserve">Recorder:  </w:t>
            </w:r>
            <w:r w:rsidR="0084780D">
              <w:rPr>
                <w:rFonts w:ascii="Arial" w:hAnsi="Arial" w:cs="Arial"/>
                <w:sz w:val="16"/>
                <w:szCs w:val="16"/>
              </w:rPr>
              <w:t>Public Safety</w:t>
            </w:r>
            <w:r w:rsidRPr="00897325">
              <w:rPr>
                <w:rFonts w:ascii="Arial" w:hAnsi="Arial" w:cs="Arial"/>
                <w:sz w:val="16"/>
                <w:szCs w:val="16"/>
              </w:rPr>
              <w:t xml:space="preserve"> Administrative Support</w:t>
            </w:r>
          </w:p>
        </w:tc>
        <w:tc>
          <w:tcPr>
            <w:tcW w:w="1784" w:type="dxa"/>
            <w:tcBorders>
              <w:top w:val="nil"/>
              <w:left w:val="nil"/>
              <w:bottom w:val="nil"/>
              <w:right w:val="single" w:sz="4" w:space="0" w:color="auto"/>
            </w:tcBorders>
          </w:tcPr>
          <w:p w14:paraId="30F7260F" w14:textId="77777777" w:rsidR="0081669F" w:rsidRPr="00897325" w:rsidRDefault="0081669F" w:rsidP="0081669F">
            <w:pPr>
              <w:rPr>
                <w:rFonts w:ascii="Arial" w:hAnsi="Arial" w:cs="Arial"/>
                <w:sz w:val="16"/>
                <w:szCs w:val="16"/>
              </w:rPr>
            </w:pPr>
            <w:r w:rsidRPr="00897325">
              <w:rPr>
                <w:rFonts w:ascii="Arial" w:hAnsi="Arial" w:cs="Arial"/>
                <w:sz w:val="16"/>
                <w:szCs w:val="16"/>
              </w:rPr>
              <w:t>Cheyenne Castellanos</w:t>
            </w:r>
          </w:p>
        </w:tc>
        <w:tc>
          <w:tcPr>
            <w:tcW w:w="317" w:type="dxa"/>
            <w:tcBorders>
              <w:left w:val="single" w:sz="4" w:space="0" w:color="auto"/>
            </w:tcBorders>
            <w:vAlign w:val="center"/>
          </w:tcPr>
          <w:p w14:paraId="147BD8C1" w14:textId="7F36704D" w:rsidR="0081669F" w:rsidRDefault="000B79E2" w:rsidP="00574E83">
            <w:pPr>
              <w:jc w:val="center"/>
            </w:pPr>
            <w:r>
              <w:sym w:font="Wingdings" w:char="F0FC"/>
            </w:r>
          </w:p>
        </w:tc>
      </w:tr>
    </w:tbl>
    <w:p w14:paraId="55B88930" w14:textId="77777777" w:rsidR="00FF5270" w:rsidRDefault="00FF5270" w:rsidP="00FF5270">
      <w:pPr>
        <w:jc w:val="center"/>
      </w:pPr>
    </w:p>
    <w:p w14:paraId="2373C8C9" w14:textId="77777777" w:rsidR="00061509" w:rsidRDefault="00061509" w:rsidP="00C54B28">
      <w:pPr>
        <w:spacing w:after="0"/>
      </w:pPr>
    </w:p>
    <w:tbl>
      <w:tblPr>
        <w:tblStyle w:val="TableGrid"/>
        <w:tblpPr w:leftFromText="180" w:rightFromText="180" w:vertAnchor="text" w:horzAnchor="margin" w:tblpXSpec="center" w:tblpY="471"/>
        <w:tblW w:w="9900" w:type="dxa"/>
        <w:tblLook w:val="04A0" w:firstRow="1" w:lastRow="0" w:firstColumn="1" w:lastColumn="0" w:noHBand="0" w:noVBand="1"/>
      </w:tblPr>
      <w:tblGrid>
        <w:gridCol w:w="2771"/>
        <w:gridCol w:w="7129"/>
      </w:tblGrid>
      <w:tr w:rsidR="008552E8" w:rsidRPr="00372CB2" w14:paraId="581F5D85" w14:textId="77777777" w:rsidTr="009B4389">
        <w:tc>
          <w:tcPr>
            <w:tcW w:w="2515" w:type="dxa"/>
          </w:tcPr>
          <w:p w14:paraId="41AE6446" w14:textId="52CAD57E" w:rsidR="008552E8" w:rsidRPr="00141A08" w:rsidRDefault="008552E8" w:rsidP="008552E8">
            <w:pPr>
              <w:rPr>
                <w:rFonts w:ascii="Arial" w:eastAsia="Times New Roman" w:hAnsi="Arial" w:cs="Arial"/>
              </w:rPr>
            </w:pPr>
            <w:r w:rsidRPr="00141A08">
              <w:rPr>
                <w:rFonts w:ascii="Arial" w:eastAsia="Times New Roman" w:hAnsi="Arial" w:cs="Arial"/>
              </w:rPr>
              <w:t>Item</w:t>
            </w:r>
          </w:p>
        </w:tc>
        <w:tc>
          <w:tcPr>
            <w:tcW w:w="7385" w:type="dxa"/>
          </w:tcPr>
          <w:p w14:paraId="5A49B130" w14:textId="68359B85" w:rsidR="008552E8" w:rsidRPr="00141A08" w:rsidRDefault="008552E8" w:rsidP="00150530">
            <w:pPr>
              <w:rPr>
                <w:rFonts w:ascii="Arial" w:hAnsi="Arial" w:cs="Arial"/>
              </w:rPr>
            </w:pPr>
            <w:r w:rsidRPr="00141A08">
              <w:rPr>
                <w:rFonts w:ascii="Arial" w:hAnsi="Arial" w:cs="Arial"/>
              </w:rPr>
              <w:t>Discussion</w:t>
            </w:r>
          </w:p>
        </w:tc>
      </w:tr>
      <w:tr w:rsidR="00474B41" w:rsidRPr="00372CB2" w14:paraId="36DD70B6" w14:textId="77777777" w:rsidTr="009B4389">
        <w:tc>
          <w:tcPr>
            <w:tcW w:w="2515" w:type="dxa"/>
          </w:tcPr>
          <w:p w14:paraId="2BEA9266" w14:textId="476A40D2" w:rsidR="00474B41" w:rsidRPr="00141A08" w:rsidRDefault="00A1173A" w:rsidP="00FA7A82">
            <w:pPr>
              <w:numPr>
                <w:ilvl w:val="0"/>
                <w:numId w:val="2"/>
              </w:numPr>
              <w:rPr>
                <w:rFonts w:ascii="Arial" w:eastAsia="Times New Roman" w:hAnsi="Arial" w:cs="Arial"/>
              </w:rPr>
            </w:pPr>
            <w:r>
              <w:rPr>
                <w:rFonts w:ascii="Arial" w:eastAsia="Times New Roman" w:hAnsi="Arial" w:cs="Arial"/>
              </w:rPr>
              <w:t>Committee Charge and Composition Updates</w:t>
            </w:r>
          </w:p>
        </w:tc>
        <w:tc>
          <w:tcPr>
            <w:tcW w:w="7385" w:type="dxa"/>
          </w:tcPr>
          <w:p w14:paraId="0F7C349A" w14:textId="40CAD98A" w:rsidR="000374FA" w:rsidRDefault="00292D45" w:rsidP="00292D45">
            <w:pPr>
              <w:rPr>
                <w:rFonts w:ascii="Arial" w:hAnsi="Arial" w:cs="Arial"/>
              </w:rPr>
            </w:pPr>
            <w:r>
              <w:rPr>
                <w:rFonts w:ascii="Arial" w:hAnsi="Arial" w:cs="Arial"/>
              </w:rPr>
              <w:t>The committee revisited the charge and composition which occurs annually</w:t>
            </w:r>
            <w:r w:rsidR="000B79E2">
              <w:rPr>
                <w:rFonts w:ascii="Arial" w:hAnsi="Arial" w:cs="Arial"/>
              </w:rPr>
              <w:t xml:space="preserve">. Nicole asked the committee if there is anything they would like to add or delete in the charge. </w:t>
            </w:r>
            <w:r>
              <w:rPr>
                <w:rFonts w:ascii="Arial" w:hAnsi="Arial" w:cs="Arial"/>
              </w:rPr>
              <w:t>This is the third review of the year for both. Pearl suggested aligning the districtwide values and mission statement with the Council charge. The committee agreed that</w:t>
            </w:r>
            <w:r w:rsidR="000B79E2">
              <w:rPr>
                <w:rFonts w:ascii="Arial" w:hAnsi="Arial" w:cs="Arial"/>
              </w:rPr>
              <w:t xml:space="preserve"> </w:t>
            </w:r>
            <w:r>
              <w:rPr>
                <w:rFonts w:ascii="Arial" w:hAnsi="Arial" w:cs="Arial"/>
              </w:rPr>
              <w:t>having</w:t>
            </w:r>
            <w:r w:rsidR="000B79E2">
              <w:rPr>
                <w:rFonts w:ascii="Arial" w:hAnsi="Arial" w:cs="Arial"/>
              </w:rPr>
              <w:t xml:space="preserve"> </w:t>
            </w:r>
            <w:r w:rsidR="004448BA">
              <w:rPr>
                <w:rFonts w:ascii="Arial" w:hAnsi="Arial" w:cs="Arial"/>
              </w:rPr>
              <w:t>language added regarding equity through the</w:t>
            </w:r>
            <w:r w:rsidR="000B79E2">
              <w:rPr>
                <w:rFonts w:ascii="Arial" w:hAnsi="Arial" w:cs="Arial"/>
              </w:rPr>
              <w:t xml:space="preserve"> vision and mission statements </w:t>
            </w:r>
            <w:r>
              <w:rPr>
                <w:rFonts w:ascii="Arial" w:hAnsi="Arial" w:cs="Arial"/>
              </w:rPr>
              <w:t xml:space="preserve">was priority. Pearl suggested that the language </w:t>
            </w:r>
            <w:r w:rsidR="000B79E2">
              <w:rPr>
                <w:rFonts w:ascii="Arial" w:hAnsi="Arial" w:cs="Arial"/>
              </w:rPr>
              <w:t xml:space="preserve">be reinforced </w:t>
            </w:r>
            <w:r>
              <w:rPr>
                <w:rFonts w:ascii="Arial" w:hAnsi="Arial" w:cs="Arial"/>
              </w:rPr>
              <w:t>in a way that</w:t>
            </w:r>
            <w:r w:rsidR="000B79E2">
              <w:rPr>
                <w:rFonts w:ascii="Arial" w:hAnsi="Arial" w:cs="Arial"/>
              </w:rPr>
              <w:t xml:space="preserve"> it can be understood by everyone. </w:t>
            </w:r>
            <w:r>
              <w:rPr>
                <w:rFonts w:ascii="Arial" w:hAnsi="Arial" w:cs="Arial"/>
              </w:rPr>
              <w:t xml:space="preserve">The group readily worked on a draft version of language they were </w:t>
            </w:r>
            <w:r w:rsidR="00D75BAF">
              <w:rPr>
                <w:rFonts w:ascii="Arial" w:hAnsi="Arial" w:cs="Arial"/>
              </w:rPr>
              <w:t>content</w:t>
            </w:r>
            <w:r>
              <w:rPr>
                <w:rFonts w:ascii="Arial" w:hAnsi="Arial" w:cs="Arial"/>
              </w:rPr>
              <w:t xml:space="preserve"> with. Nicole repeatedly asked for input and offered suggestions to assist with progress. </w:t>
            </w:r>
            <w:r w:rsidR="001F588A">
              <w:rPr>
                <w:rFonts w:ascii="Arial" w:hAnsi="Arial" w:cs="Arial"/>
              </w:rPr>
              <w:t>Michele o</w:t>
            </w:r>
            <w:r w:rsidR="00D75BAF">
              <w:rPr>
                <w:rFonts w:ascii="Arial" w:hAnsi="Arial" w:cs="Arial"/>
              </w:rPr>
              <w:t xml:space="preserve">ffered to help with improving the overall </w:t>
            </w:r>
            <w:r w:rsidR="00D75BAF">
              <w:rPr>
                <w:rFonts w:ascii="Arial" w:hAnsi="Arial" w:cs="Arial"/>
              </w:rPr>
              <w:lastRenderedPageBreak/>
              <w:t>grammar and composition</w:t>
            </w:r>
            <w:r w:rsidR="001F588A">
              <w:rPr>
                <w:rFonts w:ascii="Arial" w:hAnsi="Arial" w:cs="Arial"/>
              </w:rPr>
              <w:t>. Once completed, it will be shared</w:t>
            </w:r>
            <w:r>
              <w:rPr>
                <w:rFonts w:ascii="Arial" w:hAnsi="Arial" w:cs="Arial"/>
              </w:rPr>
              <w:t xml:space="preserve"> with the committee for final review via email. </w:t>
            </w:r>
          </w:p>
          <w:p w14:paraId="6F834967" w14:textId="77777777" w:rsidR="00292D45" w:rsidRDefault="00292D45" w:rsidP="00292D45">
            <w:pPr>
              <w:rPr>
                <w:rFonts w:ascii="Arial" w:hAnsi="Arial" w:cs="Arial"/>
              </w:rPr>
            </w:pPr>
          </w:p>
          <w:p w14:paraId="60FF228D" w14:textId="257E189F" w:rsidR="00292D45" w:rsidRPr="00141A08" w:rsidRDefault="00292D45" w:rsidP="00292D45">
            <w:pPr>
              <w:rPr>
                <w:rFonts w:ascii="Arial" w:hAnsi="Arial" w:cs="Arial"/>
              </w:rPr>
            </w:pPr>
            <w:r>
              <w:rPr>
                <w:rFonts w:ascii="Arial" w:hAnsi="Arial" w:cs="Arial"/>
              </w:rPr>
              <w:t xml:space="preserve">Nicole advised that she had a few recommended changes for the composition. First, a classified senate rep was added for CC. Second, she mentioned that with only one person working for CAPS and the Sheriff’s during the meetings that it was difficult for them to attend. Perhaps another position would be more beneficial here? </w:t>
            </w:r>
            <w:r w:rsidR="002D6C51">
              <w:rPr>
                <w:rFonts w:ascii="Arial" w:hAnsi="Arial" w:cs="Arial"/>
              </w:rPr>
              <w:t xml:space="preserve">Manual mentioned that he was under the impression composition could not be changed without board approval. Nicole acknowledged she was unsure and would check on this prior to the next meeting so they may accomplish updates if possible. </w:t>
            </w:r>
          </w:p>
        </w:tc>
      </w:tr>
      <w:tr w:rsidR="00474B41" w:rsidRPr="00330ADD" w14:paraId="70F0587E" w14:textId="77777777" w:rsidTr="009B4389">
        <w:tc>
          <w:tcPr>
            <w:tcW w:w="2515" w:type="dxa"/>
          </w:tcPr>
          <w:p w14:paraId="6839C8C3" w14:textId="77702025" w:rsidR="00474B41" w:rsidRPr="00141A08" w:rsidRDefault="00A1173A" w:rsidP="00FA7A82">
            <w:pPr>
              <w:numPr>
                <w:ilvl w:val="0"/>
                <w:numId w:val="2"/>
              </w:numPr>
              <w:rPr>
                <w:rFonts w:ascii="Arial" w:eastAsia="Times New Roman" w:hAnsi="Arial" w:cs="Arial"/>
              </w:rPr>
            </w:pPr>
            <w:r>
              <w:rPr>
                <w:rFonts w:ascii="Arial" w:eastAsia="Times New Roman" w:hAnsi="Arial" w:cs="Arial"/>
              </w:rPr>
              <w:lastRenderedPageBreak/>
              <w:t>Public Safety Taskforce Update</w:t>
            </w:r>
            <w:r w:rsidR="00165726">
              <w:rPr>
                <w:rFonts w:ascii="Arial" w:eastAsia="Times New Roman" w:hAnsi="Arial" w:cs="Arial"/>
              </w:rPr>
              <w:t xml:space="preserve"> from Cabinet</w:t>
            </w:r>
          </w:p>
        </w:tc>
        <w:tc>
          <w:tcPr>
            <w:tcW w:w="7385" w:type="dxa"/>
          </w:tcPr>
          <w:p w14:paraId="36C64FCE" w14:textId="756E335F" w:rsidR="00141A08" w:rsidRPr="00680601" w:rsidRDefault="000B79E2" w:rsidP="00CB1BE1">
            <w:pPr>
              <w:spacing w:after="160" w:line="259" w:lineRule="auto"/>
              <w:rPr>
                <w:rFonts w:ascii="Arial" w:hAnsi="Arial" w:cs="Arial"/>
              </w:rPr>
            </w:pPr>
            <w:r>
              <w:rPr>
                <w:rFonts w:ascii="Arial" w:hAnsi="Arial" w:cs="Arial"/>
              </w:rPr>
              <w:t xml:space="preserve">The committee is </w:t>
            </w:r>
            <w:r w:rsidR="00943009">
              <w:rPr>
                <w:rFonts w:ascii="Arial" w:hAnsi="Arial" w:cs="Arial"/>
              </w:rPr>
              <w:t xml:space="preserve">interested in knowing if the taskforce will be combined with the council. Some members feel </w:t>
            </w:r>
            <w:r w:rsidR="000317BC">
              <w:rPr>
                <w:rFonts w:ascii="Arial" w:hAnsi="Arial" w:cs="Arial"/>
              </w:rPr>
              <w:t>the taskforce</w:t>
            </w:r>
            <w:r w:rsidR="00943009">
              <w:rPr>
                <w:rFonts w:ascii="Arial" w:hAnsi="Arial" w:cs="Arial"/>
              </w:rPr>
              <w:t xml:space="preserve"> is duplicating</w:t>
            </w:r>
            <w:r w:rsidR="0064100E">
              <w:rPr>
                <w:rFonts w:ascii="Arial" w:hAnsi="Arial" w:cs="Arial"/>
              </w:rPr>
              <w:t xml:space="preserve"> </w:t>
            </w:r>
            <w:r w:rsidR="000317BC">
              <w:rPr>
                <w:rFonts w:ascii="Arial" w:hAnsi="Arial" w:cs="Arial"/>
              </w:rPr>
              <w:t>efforts with the same people assigned</w:t>
            </w:r>
            <w:r w:rsidR="00D57CD4">
              <w:rPr>
                <w:rFonts w:ascii="Arial" w:hAnsi="Arial" w:cs="Arial"/>
              </w:rPr>
              <w:t xml:space="preserve">. </w:t>
            </w:r>
            <w:r w:rsidR="0064100E">
              <w:rPr>
                <w:rFonts w:ascii="Arial" w:hAnsi="Arial" w:cs="Arial"/>
              </w:rPr>
              <w:t xml:space="preserve">Nicole advised the committee that </w:t>
            </w:r>
            <w:r w:rsidR="00292D45">
              <w:rPr>
                <w:rFonts w:ascii="Arial" w:hAnsi="Arial" w:cs="Arial"/>
              </w:rPr>
              <w:t>in the past the Chancellor had</w:t>
            </w:r>
            <w:r w:rsidR="0064100E">
              <w:rPr>
                <w:rFonts w:ascii="Arial" w:hAnsi="Arial" w:cs="Arial"/>
              </w:rPr>
              <w:t xml:space="preserve"> </w:t>
            </w:r>
            <w:r w:rsidR="00292D45">
              <w:rPr>
                <w:rFonts w:ascii="Arial" w:hAnsi="Arial" w:cs="Arial"/>
              </w:rPr>
              <w:t>wanted</w:t>
            </w:r>
            <w:r w:rsidR="0064100E">
              <w:rPr>
                <w:rFonts w:ascii="Arial" w:hAnsi="Arial" w:cs="Arial"/>
              </w:rPr>
              <w:t xml:space="preserve"> committees and taskforces scaled down because there </w:t>
            </w:r>
            <w:r w:rsidR="00292D45">
              <w:rPr>
                <w:rFonts w:ascii="Arial" w:hAnsi="Arial" w:cs="Arial"/>
              </w:rPr>
              <w:t>was</w:t>
            </w:r>
            <w:r w:rsidR="000317BC">
              <w:rPr>
                <w:rFonts w:ascii="Arial" w:hAnsi="Arial" w:cs="Arial"/>
              </w:rPr>
              <w:t xml:space="preserve"> a lot of duplication and not enough continuity</w:t>
            </w:r>
            <w:r w:rsidR="0064100E">
              <w:rPr>
                <w:rFonts w:ascii="Arial" w:hAnsi="Arial" w:cs="Arial"/>
              </w:rPr>
              <w:t xml:space="preserve">. Nicole showed the governance handbook and the tree of the different councils. </w:t>
            </w:r>
            <w:r w:rsidR="00292D45">
              <w:rPr>
                <w:rFonts w:ascii="Arial" w:hAnsi="Arial" w:cs="Arial"/>
              </w:rPr>
              <w:t xml:space="preserve">Manuel suggested that it makes sense the taskforce is not needed and the issues may be able to go through Council, however he would like to see a more robust and diverse Council. </w:t>
            </w:r>
            <w:r w:rsidR="005A3A96">
              <w:rPr>
                <w:rFonts w:ascii="Arial" w:hAnsi="Arial" w:cs="Arial"/>
              </w:rPr>
              <w:t xml:space="preserve">Pearl explained that she would like the taskforce to continue to discuss cameras. Nicole asked for clarification on if that was the sole purpose of the taskforce or if other issues were to be brought there. Manuel explained that there were other issues they wanted to discuss there however, it may be possible to discuss them at the Council as well. Manuel was concerned about not having enough representation on the Council from </w:t>
            </w:r>
            <w:r w:rsidR="00DC6759">
              <w:rPr>
                <w:rFonts w:ascii="Arial" w:hAnsi="Arial" w:cs="Arial"/>
              </w:rPr>
              <w:t xml:space="preserve">the </w:t>
            </w:r>
            <w:r w:rsidR="005A3A96">
              <w:rPr>
                <w:rFonts w:ascii="Arial" w:hAnsi="Arial" w:cs="Arial"/>
              </w:rPr>
              <w:t>union groups. Elaine clarified that the Council is shared governance and union groups generally do not hav</w:t>
            </w:r>
            <w:r w:rsidR="00CB1BE1">
              <w:rPr>
                <w:rFonts w:ascii="Arial" w:hAnsi="Arial" w:cs="Arial"/>
              </w:rPr>
              <w:t xml:space="preserve">e a seat. Again, Nicole will seek clarification </w:t>
            </w:r>
            <w:r w:rsidR="005A3A96">
              <w:rPr>
                <w:rFonts w:ascii="Arial" w:hAnsi="Arial" w:cs="Arial"/>
              </w:rPr>
              <w:t xml:space="preserve">about composition for the next meeting. </w:t>
            </w:r>
          </w:p>
        </w:tc>
      </w:tr>
      <w:tr w:rsidR="00A1173A" w:rsidRPr="00330ADD" w14:paraId="51D15039" w14:textId="77777777" w:rsidTr="009B4389">
        <w:tc>
          <w:tcPr>
            <w:tcW w:w="2515" w:type="dxa"/>
          </w:tcPr>
          <w:p w14:paraId="0C5F6E4E" w14:textId="0CDFE7F5" w:rsidR="00A1173A" w:rsidRDefault="0091639D" w:rsidP="00FA7A82">
            <w:pPr>
              <w:numPr>
                <w:ilvl w:val="0"/>
                <w:numId w:val="2"/>
              </w:numPr>
              <w:rPr>
                <w:rFonts w:ascii="Arial" w:eastAsia="Times New Roman" w:hAnsi="Arial" w:cs="Arial"/>
              </w:rPr>
            </w:pPr>
            <w:r>
              <w:rPr>
                <w:rFonts w:ascii="Arial" w:eastAsia="Times New Roman" w:hAnsi="Arial" w:cs="Arial"/>
              </w:rPr>
              <w:t xml:space="preserve">Ground rules for respectful discussion </w:t>
            </w:r>
          </w:p>
        </w:tc>
        <w:tc>
          <w:tcPr>
            <w:tcW w:w="7385" w:type="dxa"/>
          </w:tcPr>
          <w:p w14:paraId="44176D85" w14:textId="3310BD3A" w:rsidR="00A1173A" w:rsidRPr="00680601" w:rsidRDefault="0064100E" w:rsidP="002D6C51">
            <w:pPr>
              <w:rPr>
                <w:rFonts w:ascii="Arial" w:hAnsi="Arial" w:cs="Arial"/>
              </w:rPr>
            </w:pPr>
            <w:r>
              <w:rPr>
                <w:rFonts w:ascii="Arial" w:hAnsi="Arial" w:cs="Arial"/>
              </w:rPr>
              <w:t>The committee felt there was no need for discussion on this topic</w:t>
            </w:r>
            <w:r w:rsidR="00292D45">
              <w:rPr>
                <w:rFonts w:ascii="Arial" w:hAnsi="Arial" w:cs="Arial"/>
              </w:rPr>
              <w:t xml:space="preserve"> at this time. Should any issues arise at a later date, it may be rev</w:t>
            </w:r>
            <w:bookmarkStart w:id="0" w:name="_GoBack"/>
            <w:bookmarkEnd w:id="0"/>
            <w:r w:rsidR="00292D45">
              <w:rPr>
                <w:rFonts w:ascii="Arial" w:hAnsi="Arial" w:cs="Arial"/>
              </w:rPr>
              <w:t xml:space="preserve">etted. </w:t>
            </w:r>
            <w:r>
              <w:rPr>
                <w:rFonts w:ascii="Arial" w:hAnsi="Arial" w:cs="Arial"/>
              </w:rPr>
              <w:t xml:space="preserve"> </w:t>
            </w:r>
          </w:p>
        </w:tc>
      </w:tr>
      <w:tr w:rsidR="0091639D" w:rsidRPr="00330ADD" w14:paraId="3EF25BCA" w14:textId="77777777" w:rsidTr="009B4389">
        <w:tc>
          <w:tcPr>
            <w:tcW w:w="2515" w:type="dxa"/>
          </w:tcPr>
          <w:p w14:paraId="570C25B1" w14:textId="59064941" w:rsidR="0091639D" w:rsidRPr="0091639D" w:rsidRDefault="0091639D" w:rsidP="0091639D">
            <w:pPr>
              <w:numPr>
                <w:ilvl w:val="0"/>
                <w:numId w:val="2"/>
              </w:numPr>
              <w:rPr>
                <w:rFonts w:ascii="Arial" w:eastAsia="Times New Roman" w:hAnsi="Arial" w:cs="Arial"/>
              </w:rPr>
            </w:pPr>
            <w:r>
              <w:rPr>
                <w:rFonts w:ascii="Arial" w:eastAsia="Times New Roman" w:hAnsi="Arial" w:cs="Arial"/>
              </w:rPr>
              <w:t>Review of Recommendations form the 2020/2021 Public Safety Taskforce</w:t>
            </w:r>
          </w:p>
        </w:tc>
        <w:tc>
          <w:tcPr>
            <w:tcW w:w="7385" w:type="dxa"/>
          </w:tcPr>
          <w:p w14:paraId="080EE84C" w14:textId="08623044" w:rsidR="0091639D" w:rsidRPr="00680601" w:rsidRDefault="009D1718" w:rsidP="002D6C51">
            <w:pPr>
              <w:rPr>
                <w:rFonts w:ascii="Arial" w:hAnsi="Arial" w:cs="Arial"/>
              </w:rPr>
            </w:pPr>
            <w:r>
              <w:rPr>
                <w:rFonts w:ascii="Arial" w:hAnsi="Arial" w:cs="Arial"/>
              </w:rPr>
              <w:t xml:space="preserve">Nicole advised the council there were a lot of </w:t>
            </w:r>
            <w:r w:rsidR="00292D45">
              <w:rPr>
                <w:rFonts w:ascii="Arial" w:hAnsi="Arial" w:cs="Arial"/>
              </w:rPr>
              <w:t>recommendations</w:t>
            </w:r>
            <w:r>
              <w:rPr>
                <w:rFonts w:ascii="Arial" w:hAnsi="Arial" w:cs="Arial"/>
              </w:rPr>
              <w:t xml:space="preserve"> to be discussed</w:t>
            </w:r>
            <w:r w:rsidR="00292D45">
              <w:rPr>
                <w:rFonts w:ascii="Arial" w:hAnsi="Arial" w:cs="Arial"/>
              </w:rPr>
              <w:t xml:space="preserve"> </w:t>
            </w:r>
            <w:r w:rsidR="002D6C51">
              <w:rPr>
                <w:rFonts w:ascii="Arial" w:hAnsi="Arial" w:cs="Arial"/>
              </w:rPr>
              <w:t>during</w:t>
            </w:r>
            <w:r w:rsidR="00292D45">
              <w:rPr>
                <w:rFonts w:ascii="Arial" w:hAnsi="Arial" w:cs="Arial"/>
              </w:rPr>
              <w:t xml:space="preserve"> the 2020-2021 Taskforce</w:t>
            </w:r>
            <w:r>
              <w:rPr>
                <w:rFonts w:ascii="Arial" w:hAnsi="Arial" w:cs="Arial"/>
              </w:rPr>
              <w:t xml:space="preserve"> and they have </w:t>
            </w:r>
            <w:r w:rsidR="00292D45">
              <w:rPr>
                <w:rFonts w:ascii="Arial" w:hAnsi="Arial" w:cs="Arial"/>
              </w:rPr>
              <w:t>not</w:t>
            </w:r>
            <w:r>
              <w:rPr>
                <w:rFonts w:ascii="Arial" w:hAnsi="Arial" w:cs="Arial"/>
              </w:rPr>
              <w:t xml:space="preserve"> been revisited. She kept a list </w:t>
            </w:r>
            <w:r w:rsidR="001830DA">
              <w:rPr>
                <w:rFonts w:ascii="Arial" w:hAnsi="Arial" w:cs="Arial"/>
              </w:rPr>
              <w:t xml:space="preserve">“Summary of Recommendations” </w:t>
            </w:r>
            <w:r>
              <w:rPr>
                <w:rFonts w:ascii="Arial" w:hAnsi="Arial" w:cs="Arial"/>
              </w:rPr>
              <w:t xml:space="preserve">of the </w:t>
            </w:r>
            <w:r w:rsidR="00292D45">
              <w:rPr>
                <w:rFonts w:ascii="Arial" w:hAnsi="Arial" w:cs="Arial"/>
              </w:rPr>
              <w:t>items</w:t>
            </w:r>
            <w:r w:rsidR="001830DA">
              <w:rPr>
                <w:rFonts w:ascii="Arial" w:hAnsi="Arial" w:cs="Arial"/>
              </w:rPr>
              <w:t xml:space="preserve"> </w:t>
            </w:r>
            <w:r w:rsidR="00292D45">
              <w:rPr>
                <w:rFonts w:ascii="Arial" w:hAnsi="Arial" w:cs="Arial"/>
              </w:rPr>
              <w:t>which</w:t>
            </w:r>
            <w:r w:rsidR="001830DA">
              <w:rPr>
                <w:rFonts w:ascii="Arial" w:hAnsi="Arial" w:cs="Arial"/>
              </w:rPr>
              <w:t xml:space="preserve"> had been discussed</w:t>
            </w:r>
            <w:r w:rsidR="00292D45">
              <w:rPr>
                <w:rFonts w:ascii="Arial" w:hAnsi="Arial" w:cs="Arial"/>
              </w:rPr>
              <w:t xml:space="preserve"> during meetings of the taskforce or issues brought to light which needed remedy. The list was shared with</w:t>
            </w:r>
            <w:r w:rsidR="001830DA">
              <w:rPr>
                <w:rFonts w:ascii="Arial" w:hAnsi="Arial" w:cs="Arial"/>
              </w:rPr>
              <w:t xml:space="preserve"> the </w:t>
            </w:r>
            <w:r w:rsidR="00292D45">
              <w:rPr>
                <w:rFonts w:ascii="Arial" w:hAnsi="Arial" w:cs="Arial"/>
              </w:rPr>
              <w:t>Council</w:t>
            </w:r>
            <w:r w:rsidR="001830DA">
              <w:rPr>
                <w:rFonts w:ascii="Arial" w:hAnsi="Arial" w:cs="Arial"/>
              </w:rPr>
              <w:t xml:space="preserve">. </w:t>
            </w:r>
            <w:r w:rsidR="00292D45">
              <w:rPr>
                <w:rFonts w:ascii="Arial" w:hAnsi="Arial" w:cs="Arial"/>
              </w:rPr>
              <w:t>It was agreed that it may be difficult to prioritize the list due to different points of view from members on which should be priority one and so on. A random drawing of each</w:t>
            </w:r>
            <w:r w:rsidR="001830DA">
              <w:rPr>
                <w:rFonts w:ascii="Arial" w:hAnsi="Arial" w:cs="Arial"/>
              </w:rPr>
              <w:t xml:space="preserve"> item </w:t>
            </w:r>
            <w:r w:rsidR="00292D45">
              <w:rPr>
                <w:rFonts w:ascii="Arial" w:hAnsi="Arial" w:cs="Arial"/>
              </w:rPr>
              <w:t>on</w:t>
            </w:r>
            <w:r w:rsidR="001830DA">
              <w:rPr>
                <w:rFonts w:ascii="Arial" w:hAnsi="Arial" w:cs="Arial"/>
              </w:rPr>
              <w:t xml:space="preserve"> the list will be discussed at each meeting to get through each issue. </w:t>
            </w:r>
            <w:r w:rsidR="002D6C51">
              <w:rPr>
                <w:rFonts w:ascii="Arial" w:hAnsi="Arial" w:cs="Arial"/>
              </w:rPr>
              <w:t xml:space="preserve">Nicole is hopeful that through this process, each item will be given due diligence, fairness and time for thoughtful discussion. She believes that they may be able to accomplish between 2-3 items or recommendations to improve the times during each meeting. </w:t>
            </w:r>
            <w:r w:rsidR="009A70BC">
              <w:rPr>
                <w:rFonts w:ascii="Arial" w:hAnsi="Arial" w:cs="Arial"/>
              </w:rPr>
              <w:t>The Summary of Recommendations list wil</w:t>
            </w:r>
            <w:r w:rsidR="00292D45">
              <w:rPr>
                <w:rFonts w:ascii="Arial" w:hAnsi="Arial" w:cs="Arial"/>
              </w:rPr>
              <w:t xml:space="preserve">l be shared with the Council via email and is detailed below. Nicole reminded the team that the list is not finite and may be modified or adjusted as the campus priorities change. The listing is simply a starting </w:t>
            </w:r>
            <w:r w:rsidR="002D6C51">
              <w:rPr>
                <w:rFonts w:ascii="Arial" w:hAnsi="Arial" w:cs="Arial"/>
              </w:rPr>
              <w:t xml:space="preserve">point to make positive changes districtwide. </w:t>
            </w:r>
          </w:p>
        </w:tc>
      </w:tr>
    </w:tbl>
    <w:p w14:paraId="39E4CD7E" w14:textId="4D3F6B43" w:rsidR="00292D45" w:rsidRDefault="00292D45" w:rsidP="00150530">
      <w:pPr>
        <w:spacing w:after="0"/>
      </w:pPr>
    </w:p>
    <w:p w14:paraId="26D2A434" w14:textId="77777777" w:rsidR="00292D45" w:rsidRDefault="00292D45" w:rsidP="00292D45">
      <w:pPr>
        <w:rPr>
          <w:b/>
          <w:sz w:val="28"/>
          <w:szCs w:val="28"/>
          <w:u w:val="single"/>
        </w:rPr>
      </w:pPr>
      <w:r>
        <w:rPr>
          <w:b/>
          <w:sz w:val="28"/>
          <w:szCs w:val="28"/>
          <w:u w:val="single"/>
        </w:rPr>
        <w:t>Summary of Recommendations</w:t>
      </w:r>
    </w:p>
    <w:p w14:paraId="79F2203A" w14:textId="77777777" w:rsidR="00292D45" w:rsidRDefault="00292D45" w:rsidP="00292D45">
      <w:pPr>
        <w:tabs>
          <w:tab w:val="left" w:pos="2520"/>
        </w:tabs>
        <w:ind w:right="-90"/>
        <w:rPr>
          <w:sz w:val="24"/>
          <w:szCs w:val="24"/>
        </w:rPr>
      </w:pPr>
      <w:r>
        <w:rPr>
          <w:sz w:val="24"/>
          <w:szCs w:val="24"/>
        </w:rPr>
        <w:t>Regardless of which campus safety option is selected, there is an overall strong sentiment that the district should also address/implement the following:</w:t>
      </w:r>
    </w:p>
    <w:p w14:paraId="58CB39E5" w14:textId="77777777" w:rsidR="00292D45" w:rsidRPr="009E2E64" w:rsidRDefault="00292D45" w:rsidP="00292D45">
      <w:pPr>
        <w:pStyle w:val="ListParagraph"/>
        <w:ind w:left="0"/>
        <w:rPr>
          <w:b/>
          <w:bCs/>
          <w:sz w:val="24"/>
        </w:rPr>
      </w:pPr>
    </w:p>
    <w:p w14:paraId="0778E488" w14:textId="77777777" w:rsidR="00292D45" w:rsidRDefault="00292D45" w:rsidP="00292D45">
      <w:pPr>
        <w:pStyle w:val="ListParagraph"/>
        <w:numPr>
          <w:ilvl w:val="1"/>
          <w:numId w:val="10"/>
        </w:numPr>
        <w:spacing w:after="160" w:line="259" w:lineRule="auto"/>
        <w:ind w:left="720"/>
        <w:rPr>
          <w:sz w:val="24"/>
        </w:rPr>
      </w:pPr>
      <w:r w:rsidRPr="009E2E64">
        <w:rPr>
          <w:sz w:val="24"/>
        </w:rPr>
        <w:t xml:space="preserve">Ensure that the enforcement personnel employed by or contracted with the District act more as “guardians” than “enforcers,” ensuring that they are trained to protect and serve while supporting student success. </w:t>
      </w:r>
    </w:p>
    <w:p w14:paraId="43E3DCD2" w14:textId="77777777" w:rsidR="00292D45" w:rsidRDefault="00292D45" w:rsidP="00292D45">
      <w:pPr>
        <w:pStyle w:val="ListParagraph"/>
        <w:ind w:left="0"/>
        <w:rPr>
          <w:sz w:val="24"/>
        </w:rPr>
      </w:pPr>
    </w:p>
    <w:p w14:paraId="179B2C99" w14:textId="77777777" w:rsidR="00292D45" w:rsidRDefault="00292D45" w:rsidP="00292D45">
      <w:pPr>
        <w:pStyle w:val="ListParagraph"/>
        <w:numPr>
          <w:ilvl w:val="1"/>
          <w:numId w:val="10"/>
        </w:numPr>
        <w:spacing w:after="160" w:line="259" w:lineRule="auto"/>
        <w:ind w:left="720"/>
        <w:rPr>
          <w:sz w:val="24"/>
        </w:rPr>
      </w:pPr>
      <w:r w:rsidRPr="009E2E64">
        <w:rPr>
          <w:sz w:val="24"/>
        </w:rPr>
        <w:t>Provide the campuses with recommendations to make systematic changes to the culture of policing and enforcement on campus at a swift pace.</w:t>
      </w:r>
    </w:p>
    <w:p w14:paraId="370AA7EC" w14:textId="77777777" w:rsidR="00292D45" w:rsidRPr="009E2E64" w:rsidRDefault="00292D45" w:rsidP="00292D45">
      <w:pPr>
        <w:pStyle w:val="ListParagraph"/>
        <w:ind w:left="0"/>
        <w:rPr>
          <w:sz w:val="24"/>
        </w:rPr>
      </w:pPr>
    </w:p>
    <w:p w14:paraId="2ED8E75F" w14:textId="77777777" w:rsidR="00292D45" w:rsidRDefault="00292D45" w:rsidP="00292D45">
      <w:pPr>
        <w:pStyle w:val="ListParagraph"/>
        <w:numPr>
          <w:ilvl w:val="1"/>
          <w:numId w:val="10"/>
        </w:numPr>
        <w:spacing w:after="160" w:line="259" w:lineRule="auto"/>
        <w:ind w:left="720"/>
        <w:rPr>
          <w:sz w:val="24"/>
        </w:rPr>
      </w:pPr>
      <w:r w:rsidRPr="009E2E64">
        <w:rPr>
          <w:sz w:val="24"/>
        </w:rPr>
        <w:t>Train and remind employees who to call and what type of response is necessary for classroom situations. Campus security and local law enforcement should have limited involvement in non-emergency campus situations.</w:t>
      </w:r>
    </w:p>
    <w:p w14:paraId="5230EACC" w14:textId="77777777" w:rsidR="00292D45" w:rsidRPr="00EA0558" w:rsidRDefault="00292D45" w:rsidP="00292D45">
      <w:pPr>
        <w:pStyle w:val="ListParagraph"/>
        <w:ind w:left="0"/>
        <w:rPr>
          <w:sz w:val="24"/>
        </w:rPr>
      </w:pPr>
    </w:p>
    <w:p w14:paraId="39AC724C" w14:textId="77777777" w:rsidR="00292D45" w:rsidRDefault="00292D45" w:rsidP="00292D45">
      <w:pPr>
        <w:pStyle w:val="ListParagraph"/>
        <w:numPr>
          <w:ilvl w:val="1"/>
          <w:numId w:val="10"/>
        </w:numPr>
        <w:spacing w:after="160" w:line="259" w:lineRule="auto"/>
        <w:ind w:left="720"/>
        <w:rPr>
          <w:sz w:val="24"/>
        </w:rPr>
      </w:pPr>
      <w:r w:rsidRPr="009E2E64">
        <w:rPr>
          <w:sz w:val="24"/>
        </w:rPr>
        <w:t>Implement regular trainings on cultural competence, including implicit bias and micro</w:t>
      </w:r>
      <w:r>
        <w:rPr>
          <w:sz w:val="24"/>
        </w:rPr>
        <w:t>-</w:t>
      </w:r>
      <w:r w:rsidRPr="009E2E64">
        <w:rPr>
          <w:sz w:val="24"/>
        </w:rPr>
        <w:t>aggressions, in collaboration with District Human Resources, and develop a shared understanding of the following: anti-Blackness, anti-BIPOC, and anti-LGBT societal context; intersectionality; institutional and systemic forms of discrimination and inequity; and respectful, inclusive and trauma-informed communication/interview practices. These trainings should extend to the District’s contracted personnel including contracted law enforcement.</w:t>
      </w:r>
    </w:p>
    <w:p w14:paraId="27A98D73" w14:textId="77777777" w:rsidR="00292D45" w:rsidRPr="00EA0558" w:rsidRDefault="00292D45" w:rsidP="00292D45">
      <w:pPr>
        <w:pStyle w:val="ListParagraph"/>
        <w:ind w:left="0"/>
        <w:rPr>
          <w:sz w:val="24"/>
        </w:rPr>
      </w:pPr>
    </w:p>
    <w:p w14:paraId="2EA44554" w14:textId="77777777" w:rsidR="00292D45" w:rsidRDefault="00292D45" w:rsidP="00292D45">
      <w:pPr>
        <w:pStyle w:val="ListParagraph"/>
        <w:numPr>
          <w:ilvl w:val="1"/>
          <w:numId w:val="10"/>
        </w:numPr>
        <w:spacing w:after="160" w:line="259" w:lineRule="auto"/>
        <w:ind w:left="720"/>
        <w:rPr>
          <w:sz w:val="24"/>
        </w:rPr>
      </w:pPr>
      <w:r w:rsidRPr="009E2E64">
        <w:rPr>
          <w:sz w:val="24"/>
        </w:rPr>
        <w:t>Provide employees with proper de-escalation and conflict resolution training to ensure they can successfully carry out these tactics when necessary.</w:t>
      </w:r>
    </w:p>
    <w:p w14:paraId="6F04651B" w14:textId="77777777" w:rsidR="00292D45" w:rsidRPr="00EA0558" w:rsidRDefault="00292D45" w:rsidP="00292D45">
      <w:pPr>
        <w:pStyle w:val="ListParagraph"/>
        <w:ind w:left="0"/>
        <w:rPr>
          <w:sz w:val="24"/>
        </w:rPr>
      </w:pPr>
    </w:p>
    <w:p w14:paraId="16A7A27D" w14:textId="77777777" w:rsidR="00292D45" w:rsidRDefault="00292D45" w:rsidP="00292D45">
      <w:pPr>
        <w:pStyle w:val="ListParagraph"/>
        <w:numPr>
          <w:ilvl w:val="1"/>
          <w:numId w:val="10"/>
        </w:numPr>
        <w:spacing w:after="160" w:line="259" w:lineRule="auto"/>
        <w:ind w:left="720"/>
        <w:rPr>
          <w:sz w:val="24"/>
        </w:rPr>
      </w:pPr>
      <w:r w:rsidRPr="009E2E64">
        <w:rPr>
          <w:sz w:val="24"/>
        </w:rPr>
        <w:t xml:space="preserve">Pilot a behavioral health response team or employ a greater mental health services presence at both campus during day </w:t>
      </w:r>
      <w:r w:rsidRPr="009E2E64">
        <w:rPr>
          <w:sz w:val="24"/>
          <w:u w:val="single"/>
        </w:rPr>
        <w:t>and</w:t>
      </w:r>
      <w:r w:rsidRPr="009E2E64">
        <w:rPr>
          <w:sz w:val="24"/>
        </w:rPr>
        <w:t xml:space="preserve"> night courses. Rely on the professionals who are trained to respond to non-emergency mental health issues. </w:t>
      </w:r>
    </w:p>
    <w:p w14:paraId="38115B9E" w14:textId="77777777" w:rsidR="00292D45" w:rsidRPr="00EA0558" w:rsidRDefault="00292D45" w:rsidP="00292D45">
      <w:pPr>
        <w:pStyle w:val="ListParagraph"/>
        <w:ind w:left="0"/>
        <w:rPr>
          <w:sz w:val="24"/>
        </w:rPr>
      </w:pPr>
    </w:p>
    <w:p w14:paraId="0CF49DCF" w14:textId="77777777" w:rsidR="00292D45" w:rsidRDefault="00292D45" w:rsidP="00292D45">
      <w:pPr>
        <w:pStyle w:val="ListParagraph"/>
        <w:numPr>
          <w:ilvl w:val="1"/>
          <w:numId w:val="10"/>
        </w:numPr>
        <w:spacing w:after="160" w:line="259" w:lineRule="auto"/>
        <w:ind w:left="720"/>
        <w:rPr>
          <w:sz w:val="24"/>
        </w:rPr>
      </w:pPr>
      <w:r w:rsidRPr="009E2E64">
        <w:rPr>
          <w:sz w:val="24"/>
        </w:rPr>
        <w:t xml:space="preserve">Continue to utilize resources currently provided by the Sheriff’s Department contract including but not limited to PERT, Homeless </w:t>
      </w:r>
      <w:r w:rsidRPr="009E2E64">
        <w:rPr>
          <w:sz w:val="24"/>
        </w:rPr>
        <w:lastRenderedPageBreak/>
        <w:t xml:space="preserve">Outreach Team, Domestic Violence Experts, and Clery Act Report Mandates. Explore options for additional resources or MOU and/or contracts with various agencies. </w:t>
      </w:r>
    </w:p>
    <w:p w14:paraId="1F56C6C6" w14:textId="77777777" w:rsidR="00292D45" w:rsidRPr="00EA0558" w:rsidRDefault="00292D45" w:rsidP="00292D45">
      <w:pPr>
        <w:pStyle w:val="ListParagraph"/>
        <w:ind w:left="0"/>
        <w:rPr>
          <w:sz w:val="24"/>
        </w:rPr>
      </w:pPr>
    </w:p>
    <w:p w14:paraId="5F1452B9" w14:textId="77777777" w:rsidR="00292D45" w:rsidRDefault="00292D45" w:rsidP="00292D45">
      <w:pPr>
        <w:pStyle w:val="ListParagraph"/>
        <w:numPr>
          <w:ilvl w:val="1"/>
          <w:numId w:val="10"/>
        </w:numPr>
        <w:spacing w:after="160" w:line="259" w:lineRule="auto"/>
        <w:ind w:left="720"/>
        <w:rPr>
          <w:sz w:val="24"/>
        </w:rPr>
      </w:pPr>
      <w:r w:rsidRPr="00EA0558">
        <w:rPr>
          <w:sz w:val="24"/>
        </w:rPr>
        <w:t>Significantly strengthen accountability measures for the District’s Public Safety Department, including an anonymous complaint system and creation of an oversight committee comprised of faculty, students, and staff to investigate complaints.</w:t>
      </w:r>
    </w:p>
    <w:p w14:paraId="29B67746" w14:textId="77777777" w:rsidR="00292D45" w:rsidRPr="00EA0558" w:rsidRDefault="00292D45" w:rsidP="00292D45">
      <w:pPr>
        <w:pStyle w:val="ListParagraph"/>
        <w:ind w:left="0"/>
        <w:rPr>
          <w:sz w:val="24"/>
        </w:rPr>
      </w:pPr>
    </w:p>
    <w:p w14:paraId="580A79C4" w14:textId="77777777" w:rsidR="00292D45" w:rsidRPr="00EA0558" w:rsidRDefault="00292D45" w:rsidP="00292D45">
      <w:pPr>
        <w:pStyle w:val="ListParagraph"/>
        <w:ind w:left="0"/>
        <w:rPr>
          <w:sz w:val="24"/>
        </w:rPr>
      </w:pPr>
    </w:p>
    <w:p w14:paraId="24EE3D08" w14:textId="77777777" w:rsidR="00292D45" w:rsidRPr="009E2E64" w:rsidRDefault="00292D45" w:rsidP="00292D45">
      <w:pPr>
        <w:pStyle w:val="ListParagraph"/>
        <w:numPr>
          <w:ilvl w:val="1"/>
          <w:numId w:val="10"/>
        </w:numPr>
        <w:spacing w:after="160" w:line="259" w:lineRule="auto"/>
        <w:ind w:left="720"/>
        <w:rPr>
          <w:sz w:val="24"/>
        </w:rPr>
      </w:pPr>
      <w:r w:rsidRPr="009E2E64">
        <w:rPr>
          <w:sz w:val="24"/>
        </w:rPr>
        <w:t>Improve transparency and the use of data to understand how and when campus incidents occur.</w:t>
      </w:r>
    </w:p>
    <w:p w14:paraId="62A813CD" w14:textId="77777777" w:rsidR="00292D45" w:rsidRPr="009E2E64" w:rsidRDefault="00292D45" w:rsidP="00292D45">
      <w:pPr>
        <w:pStyle w:val="ListParagraph"/>
        <w:ind w:left="0"/>
        <w:rPr>
          <w:b/>
          <w:sz w:val="24"/>
        </w:rPr>
      </w:pPr>
    </w:p>
    <w:p w14:paraId="650C8CA4" w14:textId="77777777" w:rsidR="00292D45" w:rsidRDefault="00292D45" w:rsidP="00292D45">
      <w:pPr>
        <w:pStyle w:val="ListParagraph"/>
        <w:numPr>
          <w:ilvl w:val="1"/>
          <w:numId w:val="10"/>
        </w:numPr>
        <w:spacing w:after="160" w:line="259" w:lineRule="auto"/>
        <w:ind w:left="720"/>
        <w:rPr>
          <w:sz w:val="24"/>
        </w:rPr>
      </w:pPr>
      <w:r w:rsidRPr="009E2E64">
        <w:rPr>
          <w:sz w:val="24"/>
        </w:rPr>
        <w:t xml:space="preserve">Provide a quarterly report from the Director of Public Safety to the Chancellor’s Cabinet or Presidents Cabinet to reinforces the importance of campus safety streamline information and ensure it is correctly flowing to the top which. </w:t>
      </w:r>
    </w:p>
    <w:p w14:paraId="2D7C625F" w14:textId="77777777" w:rsidR="00292D45" w:rsidRPr="00EA0558" w:rsidRDefault="00292D45" w:rsidP="00292D45">
      <w:pPr>
        <w:pStyle w:val="ListParagraph"/>
        <w:ind w:left="0"/>
        <w:rPr>
          <w:sz w:val="24"/>
        </w:rPr>
      </w:pPr>
    </w:p>
    <w:p w14:paraId="17D6947B" w14:textId="77777777" w:rsidR="00292D45" w:rsidRDefault="00292D45" w:rsidP="00292D45">
      <w:pPr>
        <w:pStyle w:val="ListParagraph"/>
        <w:numPr>
          <w:ilvl w:val="1"/>
          <w:numId w:val="10"/>
        </w:numPr>
        <w:spacing w:after="160" w:line="259" w:lineRule="auto"/>
        <w:ind w:left="720"/>
        <w:rPr>
          <w:sz w:val="24"/>
        </w:rPr>
      </w:pPr>
      <w:r w:rsidRPr="009E2E64">
        <w:rPr>
          <w:sz w:val="24"/>
        </w:rPr>
        <w:t>Cultural competence trainings should also pull from the scholarship, teachings, and recommendations produced by students and faculty with relevant subject matter expertise in the Cuyamaca College Arts, Humanities and Social Sciences Division and the Grossmont College English and Social/Behavioral Sciences Division.</w:t>
      </w:r>
    </w:p>
    <w:p w14:paraId="1E0AEE7B" w14:textId="77777777" w:rsidR="00292D45" w:rsidRPr="00EA0558" w:rsidRDefault="00292D45" w:rsidP="00292D45">
      <w:pPr>
        <w:pStyle w:val="ListParagraph"/>
        <w:ind w:left="0"/>
        <w:rPr>
          <w:sz w:val="24"/>
        </w:rPr>
      </w:pPr>
    </w:p>
    <w:p w14:paraId="246B9637" w14:textId="77777777" w:rsidR="00292D45" w:rsidRDefault="00292D45" w:rsidP="00292D45">
      <w:pPr>
        <w:pStyle w:val="ListParagraph"/>
        <w:numPr>
          <w:ilvl w:val="1"/>
          <w:numId w:val="10"/>
        </w:numPr>
        <w:spacing w:after="160" w:line="259" w:lineRule="auto"/>
        <w:ind w:left="720"/>
        <w:rPr>
          <w:sz w:val="24"/>
        </w:rPr>
      </w:pPr>
      <w:r w:rsidRPr="009E2E64">
        <w:rPr>
          <w:sz w:val="24"/>
        </w:rPr>
        <w:t>Public Safety outreach to Inter-Club Council and other student organizations and clubs.</w:t>
      </w:r>
    </w:p>
    <w:p w14:paraId="4E6E71EE" w14:textId="77777777" w:rsidR="00292D45" w:rsidRPr="006A1623" w:rsidRDefault="00292D45" w:rsidP="00292D45">
      <w:pPr>
        <w:pStyle w:val="ListParagraph"/>
        <w:rPr>
          <w:sz w:val="24"/>
        </w:rPr>
      </w:pPr>
    </w:p>
    <w:p w14:paraId="7E1588E8" w14:textId="77777777" w:rsidR="00292D45" w:rsidRDefault="00292D45" w:rsidP="00292D45">
      <w:pPr>
        <w:pStyle w:val="ListParagraph"/>
        <w:numPr>
          <w:ilvl w:val="1"/>
          <w:numId w:val="10"/>
        </w:numPr>
        <w:spacing w:after="160" w:line="259" w:lineRule="auto"/>
        <w:ind w:left="720"/>
        <w:rPr>
          <w:sz w:val="24"/>
        </w:rPr>
      </w:pPr>
      <w:r w:rsidRPr="009E2E64">
        <w:rPr>
          <w:sz w:val="24"/>
        </w:rPr>
        <w:t>Integrate campus safety activities, including prevention and response, more deliberately with existing campus-based programs that address issues such as mental health, domestic violence, sexual harassment, and drug or alcohol abuse, such as those units within Student Affairs, Human Resources, and Title IX; and pursue innovative models to pair and cross-train public safety personnel with campus practitioners.</w:t>
      </w:r>
    </w:p>
    <w:p w14:paraId="1B321722" w14:textId="77777777" w:rsidR="00292D45" w:rsidRPr="006A1623" w:rsidRDefault="00292D45" w:rsidP="00292D45">
      <w:pPr>
        <w:pStyle w:val="ListParagraph"/>
        <w:rPr>
          <w:sz w:val="24"/>
        </w:rPr>
      </w:pPr>
    </w:p>
    <w:p w14:paraId="6BAE27B9" w14:textId="77777777" w:rsidR="00292D45" w:rsidRDefault="00292D45" w:rsidP="00292D45">
      <w:pPr>
        <w:pStyle w:val="ListParagraph"/>
        <w:numPr>
          <w:ilvl w:val="1"/>
          <w:numId w:val="10"/>
        </w:numPr>
        <w:spacing w:after="160" w:line="259" w:lineRule="auto"/>
        <w:ind w:left="720"/>
        <w:rPr>
          <w:sz w:val="24"/>
        </w:rPr>
      </w:pPr>
      <w:r w:rsidRPr="009E2E64">
        <w:rPr>
          <w:sz w:val="24"/>
        </w:rPr>
        <w:t>Work collaboratively with Student Services to improve and invest in services related to basic needs, mental health, and homelessness. Particular investment should be directed toward marginalized and highly vulnerable communities, including but not limited to Undocumented, International, Native, Black, Brown, Queer, Trans, Neurodiversity, and Disabled groups.</w:t>
      </w:r>
    </w:p>
    <w:p w14:paraId="1336E323" w14:textId="77777777" w:rsidR="00292D45" w:rsidRPr="006A1623" w:rsidRDefault="00292D45" w:rsidP="00292D45">
      <w:pPr>
        <w:pStyle w:val="ListParagraph"/>
        <w:rPr>
          <w:sz w:val="24"/>
        </w:rPr>
      </w:pPr>
    </w:p>
    <w:p w14:paraId="3BB4842A" w14:textId="77777777" w:rsidR="00292D45" w:rsidRPr="009E2E64" w:rsidRDefault="00292D45" w:rsidP="00292D45">
      <w:pPr>
        <w:pStyle w:val="ListParagraph"/>
        <w:numPr>
          <w:ilvl w:val="1"/>
          <w:numId w:val="10"/>
        </w:numPr>
        <w:spacing w:after="160" w:line="259" w:lineRule="auto"/>
        <w:ind w:left="720"/>
        <w:rPr>
          <w:sz w:val="24"/>
        </w:rPr>
      </w:pPr>
      <w:r w:rsidRPr="009E2E64">
        <w:rPr>
          <w:sz w:val="24"/>
        </w:rPr>
        <w:lastRenderedPageBreak/>
        <w:t>Proper staffing of all campus resources and administrative support, particularly during night courses which run until 10:00 p.m.</w:t>
      </w:r>
    </w:p>
    <w:p w14:paraId="1502C880" w14:textId="77777777" w:rsidR="00292D45" w:rsidRDefault="00292D45" w:rsidP="00150530">
      <w:pPr>
        <w:spacing w:after="0"/>
      </w:pPr>
    </w:p>
    <w:sectPr w:rsidR="00292D45" w:rsidSect="009A0C32">
      <w:pgSz w:w="10440" w:h="15120" w:code="7"/>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B4762" w14:textId="77777777" w:rsidR="00666859" w:rsidRDefault="00666859" w:rsidP="00721E65">
      <w:pPr>
        <w:spacing w:after="0" w:line="240" w:lineRule="auto"/>
      </w:pPr>
      <w:r>
        <w:separator/>
      </w:r>
    </w:p>
  </w:endnote>
  <w:endnote w:type="continuationSeparator" w:id="0">
    <w:p w14:paraId="5D64AA57" w14:textId="77777777" w:rsidR="00666859" w:rsidRDefault="00666859" w:rsidP="0072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7038" w14:textId="77777777" w:rsidR="00666859" w:rsidRDefault="00666859" w:rsidP="00721E65">
      <w:pPr>
        <w:spacing w:after="0" w:line="240" w:lineRule="auto"/>
      </w:pPr>
      <w:r>
        <w:separator/>
      </w:r>
    </w:p>
  </w:footnote>
  <w:footnote w:type="continuationSeparator" w:id="0">
    <w:p w14:paraId="17FD6041" w14:textId="77777777" w:rsidR="00666859" w:rsidRDefault="00666859" w:rsidP="00721E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14A72"/>
    <w:multiLevelType w:val="hybridMultilevel"/>
    <w:tmpl w:val="66761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71698"/>
    <w:multiLevelType w:val="hybridMultilevel"/>
    <w:tmpl w:val="861E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3466F"/>
    <w:multiLevelType w:val="hybridMultilevel"/>
    <w:tmpl w:val="83085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A861A6"/>
    <w:multiLevelType w:val="hybridMultilevel"/>
    <w:tmpl w:val="B9AC702A"/>
    <w:lvl w:ilvl="0" w:tplc="964AFC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133CE"/>
    <w:multiLevelType w:val="hybridMultilevel"/>
    <w:tmpl w:val="FFE0F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662CC4"/>
    <w:multiLevelType w:val="hybridMultilevel"/>
    <w:tmpl w:val="FFE0F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52B2591"/>
    <w:multiLevelType w:val="hybridMultilevel"/>
    <w:tmpl w:val="FFE0F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18029FD"/>
    <w:multiLevelType w:val="hybridMultilevel"/>
    <w:tmpl w:val="2EF6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46E56"/>
    <w:multiLevelType w:val="hybridMultilevel"/>
    <w:tmpl w:val="8E666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B3F87"/>
    <w:multiLevelType w:val="hybridMultilevel"/>
    <w:tmpl w:val="FFE0F2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3"/>
  </w:num>
  <w:num w:numId="7">
    <w:abstractNumId w:val="1"/>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65"/>
    <w:rsid w:val="00003921"/>
    <w:rsid w:val="00010086"/>
    <w:rsid w:val="00022AFE"/>
    <w:rsid w:val="00025645"/>
    <w:rsid w:val="000317BC"/>
    <w:rsid w:val="000374FA"/>
    <w:rsid w:val="00056558"/>
    <w:rsid w:val="00061509"/>
    <w:rsid w:val="0009276A"/>
    <w:rsid w:val="000B6DD4"/>
    <w:rsid w:val="000B79E2"/>
    <w:rsid w:val="000E0A7D"/>
    <w:rsid w:val="00125C67"/>
    <w:rsid w:val="00140E02"/>
    <w:rsid w:val="00141A08"/>
    <w:rsid w:val="0014311A"/>
    <w:rsid w:val="00150530"/>
    <w:rsid w:val="00165726"/>
    <w:rsid w:val="001728CC"/>
    <w:rsid w:val="001830DA"/>
    <w:rsid w:val="001F2F25"/>
    <w:rsid w:val="001F588A"/>
    <w:rsid w:val="002035C2"/>
    <w:rsid w:val="002612DC"/>
    <w:rsid w:val="00266EAC"/>
    <w:rsid w:val="00284672"/>
    <w:rsid w:val="00284AED"/>
    <w:rsid w:val="00292D45"/>
    <w:rsid w:val="002933AE"/>
    <w:rsid w:val="002D6C51"/>
    <w:rsid w:val="002F6AD0"/>
    <w:rsid w:val="00306800"/>
    <w:rsid w:val="003344F4"/>
    <w:rsid w:val="003E250A"/>
    <w:rsid w:val="003E5CFA"/>
    <w:rsid w:val="0041549E"/>
    <w:rsid w:val="004228D5"/>
    <w:rsid w:val="00422C0B"/>
    <w:rsid w:val="004448BA"/>
    <w:rsid w:val="00452542"/>
    <w:rsid w:val="00474B41"/>
    <w:rsid w:val="0048221E"/>
    <w:rsid w:val="004A6933"/>
    <w:rsid w:val="004B56C9"/>
    <w:rsid w:val="004D00CE"/>
    <w:rsid w:val="004E4037"/>
    <w:rsid w:val="00513B8A"/>
    <w:rsid w:val="005704F7"/>
    <w:rsid w:val="00574E83"/>
    <w:rsid w:val="005925BB"/>
    <w:rsid w:val="005A3A96"/>
    <w:rsid w:val="005C62FB"/>
    <w:rsid w:val="0063307F"/>
    <w:rsid w:val="0064100E"/>
    <w:rsid w:val="006422FE"/>
    <w:rsid w:val="00666859"/>
    <w:rsid w:val="00680601"/>
    <w:rsid w:val="006C0880"/>
    <w:rsid w:val="006D5EAC"/>
    <w:rsid w:val="006F5CCC"/>
    <w:rsid w:val="00721E65"/>
    <w:rsid w:val="007224A7"/>
    <w:rsid w:val="00724420"/>
    <w:rsid w:val="00733BD1"/>
    <w:rsid w:val="007576C6"/>
    <w:rsid w:val="00760745"/>
    <w:rsid w:val="00764726"/>
    <w:rsid w:val="007A4BB3"/>
    <w:rsid w:val="007D073F"/>
    <w:rsid w:val="007D41FA"/>
    <w:rsid w:val="008117C7"/>
    <w:rsid w:val="00811CC1"/>
    <w:rsid w:val="0081669F"/>
    <w:rsid w:val="0082194F"/>
    <w:rsid w:val="0084780D"/>
    <w:rsid w:val="008552E8"/>
    <w:rsid w:val="008738F4"/>
    <w:rsid w:val="00897325"/>
    <w:rsid w:val="008D2B7A"/>
    <w:rsid w:val="008E7A33"/>
    <w:rsid w:val="0091639D"/>
    <w:rsid w:val="00921F30"/>
    <w:rsid w:val="00940246"/>
    <w:rsid w:val="00943009"/>
    <w:rsid w:val="009A0C32"/>
    <w:rsid w:val="009A70BC"/>
    <w:rsid w:val="009B4389"/>
    <w:rsid w:val="009C3D7D"/>
    <w:rsid w:val="009D0CEA"/>
    <w:rsid w:val="009D1718"/>
    <w:rsid w:val="00A1173A"/>
    <w:rsid w:val="00A3646A"/>
    <w:rsid w:val="00A62074"/>
    <w:rsid w:val="00AB5A10"/>
    <w:rsid w:val="00B0324A"/>
    <w:rsid w:val="00B0754C"/>
    <w:rsid w:val="00B65900"/>
    <w:rsid w:val="00B8041D"/>
    <w:rsid w:val="00B82EF6"/>
    <w:rsid w:val="00C54B28"/>
    <w:rsid w:val="00C573C3"/>
    <w:rsid w:val="00C95C27"/>
    <w:rsid w:val="00CA6CF9"/>
    <w:rsid w:val="00CB1BE1"/>
    <w:rsid w:val="00CE1F44"/>
    <w:rsid w:val="00D270C6"/>
    <w:rsid w:val="00D4092C"/>
    <w:rsid w:val="00D51F55"/>
    <w:rsid w:val="00D57CD4"/>
    <w:rsid w:val="00D7483A"/>
    <w:rsid w:val="00D75BAF"/>
    <w:rsid w:val="00D87119"/>
    <w:rsid w:val="00DA4667"/>
    <w:rsid w:val="00DC0ECB"/>
    <w:rsid w:val="00DC6759"/>
    <w:rsid w:val="00E3353F"/>
    <w:rsid w:val="00E4342A"/>
    <w:rsid w:val="00EC79C3"/>
    <w:rsid w:val="00ED7F35"/>
    <w:rsid w:val="00F65B21"/>
    <w:rsid w:val="00F72A14"/>
    <w:rsid w:val="00F947F6"/>
    <w:rsid w:val="00FA7A82"/>
    <w:rsid w:val="00FF5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1D87"/>
  <w15:chartTrackingRefBased/>
  <w15:docId w15:val="{047485C6-B079-4D08-9852-3657E5BE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1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E65"/>
  </w:style>
  <w:style w:type="paragraph" w:styleId="Footer">
    <w:name w:val="footer"/>
    <w:basedOn w:val="Normal"/>
    <w:link w:val="FooterChar"/>
    <w:uiPriority w:val="99"/>
    <w:unhideWhenUsed/>
    <w:rsid w:val="00721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E65"/>
  </w:style>
  <w:style w:type="paragraph" w:styleId="ListParagraph">
    <w:name w:val="List Paragraph"/>
    <w:basedOn w:val="Normal"/>
    <w:uiPriority w:val="34"/>
    <w:qFormat/>
    <w:rsid w:val="0081669F"/>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14311A"/>
    <w:rPr>
      <w:color w:val="0563C1" w:themeColor="hyperlink"/>
      <w:u w:val="single"/>
    </w:rPr>
  </w:style>
  <w:style w:type="character" w:styleId="FollowedHyperlink">
    <w:name w:val="FollowedHyperlink"/>
    <w:basedOn w:val="DefaultParagraphFont"/>
    <w:uiPriority w:val="99"/>
    <w:semiHidden/>
    <w:unhideWhenUsed/>
    <w:rsid w:val="005925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346166">
      <w:bodyDiv w:val="1"/>
      <w:marLeft w:val="0"/>
      <w:marRight w:val="0"/>
      <w:marTop w:val="0"/>
      <w:marBottom w:val="0"/>
      <w:divBdr>
        <w:top w:val="none" w:sz="0" w:space="0" w:color="auto"/>
        <w:left w:val="none" w:sz="0" w:space="0" w:color="auto"/>
        <w:bottom w:val="none" w:sz="0" w:space="0" w:color="auto"/>
        <w:right w:val="none" w:sz="0" w:space="0" w:color="auto"/>
      </w:divBdr>
    </w:div>
    <w:div w:id="1248733110">
      <w:bodyDiv w:val="1"/>
      <w:marLeft w:val="0"/>
      <w:marRight w:val="0"/>
      <w:marTop w:val="0"/>
      <w:marBottom w:val="0"/>
      <w:divBdr>
        <w:top w:val="none" w:sz="0" w:space="0" w:color="auto"/>
        <w:left w:val="none" w:sz="0" w:space="0" w:color="auto"/>
        <w:bottom w:val="none" w:sz="0" w:space="0" w:color="auto"/>
        <w:right w:val="none" w:sz="0" w:space="0" w:color="auto"/>
      </w:divBdr>
    </w:div>
    <w:div w:id="14290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7BF90-4A8B-4E2B-B306-4B6C40627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Castellanos</dc:creator>
  <cp:keywords/>
  <dc:description/>
  <cp:lastModifiedBy>Nicole Conklin</cp:lastModifiedBy>
  <cp:revision>13</cp:revision>
  <dcterms:created xsi:type="dcterms:W3CDTF">2022-10-24T15:00:00Z</dcterms:created>
  <dcterms:modified xsi:type="dcterms:W3CDTF">2022-10-24T15:58:00Z</dcterms:modified>
</cp:coreProperties>
</file>